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D557" w14:textId="77777777" w:rsidR="008F1359" w:rsidRPr="008F1359" w:rsidRDefault="008F1359" w:rsidP="008F1359">
      <w:pPr>
        <w:spacing w:before="100" w:beforeAutospacing="1" w:after="100" w:afterAutospacing="1" w:line="240" w:lineRule="auto"/>
        <w:outlineLvl w:val="0"/>
        <w:rPr>
          <w:rFonts w:ascii="Roboto Slab" w:eastAsia="Times New Roman" w:hAnsi="Roboto Slab" w:cs="Roboto Slab"/>
          <w:b/>
          <w:bCs/>
          <w:color w:val="0C0C0F"/>
          <w:kern w:val="36"/>
          <w:sz w:val="48"/>
          <w:szCs w:val="48"/>
          <w:lang w:eastAsia="it-IT"/>
          <w14:ligatures w14:val="none"/>
        </w:rPr>
      </w:pPr>
      <w:r w:rsidRPr="008F1359">
        <w:rPr>
          <w:rFonts w:ascii="Roboto Slab" w:eastAsia="Times New Roman" w:hAnsi="Roboto Slab" w:cs="Roboto Slab"/>
          <w:b/>
          <w:bCs/>
          <w:color w:val="0C0C0F"/>
          <w:kern w:val="36"/>
          <w:sz w:val="48"/>
          <w:szCs w:val="48"/>
          <w:lang w:eastAsia="it-IT"/>
          <w14:ligatures w14:val="none"/>
        </w:rPr>
        <w:t>La circolazione delle biciclette</w:t>
      </w:r>
    </w:p>
    <w:p w14:paraId="66CF505B" w14:textId="77777777" w:rsidR="008F1359" w:rsidRPr="008F1359" w:rsidRDefault="008F1359" w:rsidP="008F1359">
      <w:pPr>
        <w:spacing w:after="0" w:line="240" w:lineRule="auto"/>
        <w:rPr>
          <w:rFonts w:ascii="Times New Roman" w:eastAsia="Times New Roman" w:hAnsi="Times New Roman" w:cs="Times New Roman"/>
          <w:color w:val="0C0C0F"/>
          <w:kern w:val="0"/>
          <w:sz w:val="24"/>
          <w:szCs w:val="24"/>
          <w:lang w:eastAsia="it-IT"/>
          <w14:ligatures w14:val="none"/>
        </w:rPr>
      </w:pPr>
      <w:r w:rsidRPr="008F1359">
        <w:rPr>
          <w:rFonts w:ascii="Times New Roman" w:eastAsia="Times New Roman" w:hAnsi="Times New Roman" w:cs="Times New Roman"/>
          <w:color w:val="0C0C0F"/>
          <w:kern w:val="0"/>
          <w:sz w:val="24"/>
          <w:szCs w:val="24"/>
          <w:lang w:eastAsia="it-IT"/>
          <w14:ligatures w14:val="none"/>
        </w:rPr>
        <w:t>Utenti vulnerabili, ciclabile, segnaletica orizzontale, dispositivi di segnalazione e norme di comportamento</w:t>
      </w:r>
    </w:p>
    <w:p w14:paraId="3B7DA3B2"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i/>
          <w:iCs/>
          <w:color w:val="0C0C0F"/>
          <w:kern w:val="0"/>
          <w:sz w:val="24"/>
          <w:szCs w:val="24"/>
          <w:lang w:eastAsia="it-IT"/>
          <w14:ligatures w14:val="none"/>
        </w:rPr>
        <w:t>La recente riforma al Codice della Strada, in vigore dal 14 dicembre 2024, ha apportato rilevanti novità al sistema che regola la circolazione delle biciclette, anche tramite l’inserimento dei ciclisti nella categoria degli utenti vulnerabili della strada.</w:t>
      </w:r>
    </w:p>
    <w:tbl>
      <w:tblPr>
        <w:tblW w:w="9613" w:type="dxa"/>
        <w:tblCellMar>
          <w:top w:w="15" w:type="dxa"/>
          <w:left w:w="15" w:type="dxa"/>
          <w:bottom w:w="15" w:type="dxa"/>
          <w:right w:w="15" w:type="dxa"/>
        </w:tblCellMar>
        <w:tblLook w:val="04A0" w:firstRow="1" w:lastRow="0" w:firstColumn="1" w:lastColumn="0" w:noHBand="0" w:noVBand="1"/>
      </w:tblPr>
      <w:tblGrid>
        <w:gridCol w:w="9613"/>
      </w:tblGrid>
      <w:tr w:rsidR="008F1359" w:rsidRPr="008F1359" w14:paraId="2C14259D" w14:textId="77777777" w:rsidTr="008F1359">
        <w:tc>
          <w:tcPr>
            <w:tcW w:w="0" w:type="auto"/>
            <w:tcBorders>
              <w:top w:val="single" w:sz="6" w:space="0" w:color="D8D8D8"/>
              <w:left w:val="single" w:sz="6" w:space="0" w:color="D8D8D8"/>
              <w:bottom w:val="single" w:sz="6" w:space="0" w:color="D8D8D8"/>
              <w:right w:val="single" w:sz="6" w:space="0" w:color="D8D8D8"/>
            </w:tcBorders>
            <w:hideMark/>
          </w:tcPr>
          <w:p w14:paraId="5DFDAFA4" w14:textId="77777777" w:rsidR="008F1359" w:rsidRPr="008F1359" w:rsidRDefault="008F1359" w:rsidP="008F1359">
            <w:pPr>
              <w:spacing w:after="100" w:afterAutospacing="1" w:line="240" w:lineRule="auto"/>
              <w:rPr>
                <w:rFonts w:ascii="Times New Roman" w:eastAsia="Times New Roman" w:hAnsi="Times New Roman" w:cs="Times New Roman"/>
                <w:kern w:val="0"/>
                <w:sz w:val="23"/>
                <w:szCs w:val="23"/>
                <w:lang w:eastAsia="it-IT"/>
                <w14:ligatures w14:val="none"/>
              </w:rPr>
            </w:pPr>
            <w:r w:rsidRPr="008F1359">
              <w:rPr>
                <w:rFonts w:ascii="Times New Roman" w:eastAsia="Times New Roman" w:hAnsi="Times New Roman" w:cs="Times New Roman"/>
                <w:b/>
                <w:bCs/>
                <w:kern w:val="0"/>
                <w:sz w:val="23"/>
                <w:szCs w:val="23"/>
                <w:lang w:eastAsia="it-IT"/>
                <w14:ligatures w14:val="none"/>
              </w:rPr>
              <w:t>Sommario:</w:t>
            </w:r>
          </w:p>
          <w:p w14:paraId="68480775" w14:textId="77777777" w:rsidR="008F1359" w:rsidRPr="008F1359" w:rsidRDefault="008F1359" w:rsidP="008F1359">
            <w:pPr>
              <w:numPr>
                <w:ilvl w:val="0"/>
                <w:numId w:val="3"/>
              </w:numPr>
              <w:spacing w:before="100" w:beforeAutospacing="1" w:after="100" w:afterAutospacing="1" w:line="240" w:lineRule="auto"/>
              <w:rPr>
                <w:rFonts w:ascii="Times New Roman" w:eastAsia="Times New Roman" w:hAnsi="Times New Roman" w:cs="Times New Roman"/>
                <w:kern w:val="0"/>
                <w:sz w:val="23"/>
                <w:szCs w:val="23"/>
                <w:lang w:eastAsia="it-IT"/>
                <w14:ligatures w14:val="none"/>
              </w:rPr>
            </w:pPr>
            <w:hyperlink r:id="rId5" w:anchor="p1" w:history="1">
              <w:r w:rsidRPr="008F1359">
                <w:rPr>
                  <w:rFonts w:ascii="Times New Roman" w:eastAsia="Times New Roman" w:hAnsi="Times New Roman" w:cs="Times New Roman"/>
                  <w:b/>
                  <w:bCs/>
                  <w:color w:val="1E5192"/>
                  <w:kern w:val="0"/>
                  <w:sz w:val="23"/>
                  <w:szCs w:val="23"/>
                  <w:u w:val="single"/>
                  <w:lang w:eastAsia="it-IT"/>
                  <w14:ligatures w14:val="none"/>
                </w:rPr>
                <w:t>Riforma 2024</w:t>
              </w:r>
            </w:hyperlink>
          </w:p>
          <w:p w14:paraId="2E530E63" w14:textId="77777777" w:rsidR="008F1359" w:rsidRPr="008F1359" w:rsidRDefault="008F1359" w:rsidP="008F1359">
            <w:pPr>
              <w:numPr>
                <w:ilvl w:val="0"/>
                <w:numId w:val="3"/>
              </w:numPr>
              <w:spacing w:before="100" w:beforeAutospacing="1" w:after="100" w:afterAutospacing="1" w:line="240" w:lineRule="auto"/>
              <w:rPr>
                <w:rFonts w:ascii="Times New Roman" w:eastAsia="Times New Roman" w:hAnsi="Times New Roman" w:cs="Times New Roman"/>
                <w:kern w:val="0"/>
                <w:sz w:val="23"/>
                <w:szCs w:val="23"/>
                <w:lang w:eastAsia="it-IT"/>
                <w14:ligatures w14:val="none"/>
              </w:rPr>
            </w:pPr>
            <w:hyperlink r:id="rId6" w:anchor="p2" w:history="1">
              <w:r w:rsidRPr="008F1359">
                <w:rPr>
                  <w:rFonts w:ascii="Times New Roman" w:eastAsia="Times New Roman" w:hAnsi="Times New Roman" w:cs="Times New Roman"/>
                  <w:b/>
                  <w:bCs/>
                  <w:color w:val="1E5192"/>
                  <w:kern w:val="0"/>
                  <w:sz w:val="23"/>
                  <w:szCs w:val="23"/>
                  <w:u w:val="single"/>
                  <w:lang w:eastAsia="it-IT"/>
                  <w14:ligatures w14:val="none"/>
                </w:rPr>
                <w:t>Utenti vulnerabili e interventi sulla sicurezza</w:t>
              </w:r>
            </w:hyperlink>
          </w:p>
          <w:p w14:paraId="435BC19C" w14:textId="77777777" w:rsidR="008F1359" w:rsidRPr="008F1359" w:rsidRDefault="008F1359" w:rsidP="008F1359">
            <w:pPr>
              <w:numPr>
                <w:ilvl w:val="0"/>
                <w:numId w:val="3"/>
              </w:numPr>
              <w:spacing w:before="100" w:beforeAutospacing="1" w:after="100" w:afterAutospacing="1" w:line="240" w:lineRule="auto"/>
              <w:rPr>
                <w:rFonts w:ascii="Times New Roman" w:eastAsia="Times New Roman" w:hAnsi="Times New Roman" w:cs="Times New Roman"/>
                <w:kern w:val="0"/>
                <w:sz w:val="23"/>
                <w:szCs w:val="23"/>
                <w:lang w:eastAsia="it-IT"/>
                <w14:ligatures w14:val="none"/>
              </w:rPr>
            </w:pPr>
            <w:hyperlink r:id="rId7" w:anchor="p3" w:history="1">
              <w:r w:rsidRPr="008F1359">
                <w:rPr>
                  <w:rFonts w:ascii="Times New Roman" w:eastAsia="Times New Roman" w:hAnsi="Times New Roman" w:cs="Times New Roman"/>
                  <w:b/>
                  <w:bCs/>
                  <w:color w:val="1E5192"/>
                  <w:kern w:val="0"/>
                  <w:sz w:val="23"/>
                  <w:szCs w:val="23"/>
                  <w:u w:val="single"/>
                  <w:lang w:eastAsia="it-IT"/>
                  <w14:ligatures w14:val="none"/>
                </w:rPr>
                <w:t>Strada urbana ciclabile</w:t>
              </w:r>
            </w:hyperlink>
          </w:p>
          <w:p w14:paraId="321F48C0" w14:textId="77777777" w:rsidR="008F1359" w:rsidRPr="008F1359" w:rsidRDefault="008F1359" w:rsidP="008F1359">
            <w:pPr>
              <w:numPr>
                <w:ilvl w:val="0"/>
                <w:numId w:val="3"/>
              </w:numPr>
              <w:spacing w:before="100" w:beforeAutospacing="1" w:after="100" w:afterAutospacing="1" w:line="240" w:lineRule="auto"/>
              <w:rPr>
                <w:rFonts w:ascii="Times New Roman" w:eastAsia="Times New Roman" w:hAnsi="Times New Roman" w:cs="Times New Roman"/>
                <w:kern w:val="0"/>
                <w:sz w:val="23"/>
                <w:szCs w:val="23"/>
                <w:lang w:eastAsia="it-IT"/>
                <w14:ligatures w14:val="none"/>
              </w:rPr>
            </w:pPr>
            <w:hyperlink r:id="rId8" w:anchor="p4" w:history="1">
              <w:r w:rsidRPr="008F1359">
                <w:rPr>
                  <w:rFonts w:ascii="Times New Roman" w:eastAsia="Times New Roman" w:hAnsi="Times New Roman" w:cs="Times New Roman"/>
                  <w:b/>
                  <w:bCs/>
                  <w:color w:val="1E5192"/>
                  <w:kern w:val="0"/>
                  <w:sz w:val="23"/>
                  <w:szCs w:val="23"/>
                  <w:u w:val="single"/>
                  <w:lang w:eastAsia="it-IT"/>
                  <w14:ligatures w14:val="none"/>
                </w:rPr>
                <w:t>Corsia ciclabile</w:t>
              </w:r>
            </w:hyperlink>
          </w:p>
          <w:p w14:paraId="7536C7BC" w14:textId="77777777" w:rsidR="008F1359" w:rsidRPr="008F1359" w:rsidRDefault="008F1359" w:rsidP="008F1359">
            <w:pPr>
              <w:numPr>
                <w:ilvl w:val="0"/>
                <w:numId w:val="3"/>
              </w:numPr>
              <w:spacing w:before="100" w:beforeAutospacing="1" w:after="100" w:afterAutospacing="1" w:line="240" w:lineRule="auto"/>
              <w:rPr>
                <w:rFonts w:ascii="Times New Roman" w:eastAsia="Times New Roman" w:hAnsi="Times New Roman" w:cs="Times New Roman"/>
                <w:kern w:val="0"/>
                <w:sz w:val="23"/>
                <w:szCs w:val="23"/>
                <w:lang w:eastAsia="it-IT"/>
                <w14:ligatures w14:val="none"/>
              </w:rPr>
            </w:pPr>
            <w:hyperlink r:id="rId9" w:anchor="p5" w:history="1">
              <w:r w:rsidRPr="008F1359">
                <w:rPr>
                  <w:rFonts w:ascii="Times New Roman" w:eastAsia="Times New Roman" w:hAnsi="Times New Roman" w:cs="Times New Roman"/>
                  <w:b/>
                  <w:bCs/>
                  <w:color w:val="1E5192"/>
                  <w:kern w:val="0"/>
                  <w:sz w:val="23"/>
                  <w:szCs w:val="23"/>
                  <w:u w:val="single"/>
                  <w:lang w:eastAsia="it-IT"/>
                  <w14:ligatures w14:val="none"/>
                </w:rPr>
                <w:t>Segnaletica orizzontale</w:t>
              </w:r>
            </w:hyperlink>
          </w:p>
          <w:p w14:paraId="51997D45" w14:textId="77777777" w:rsidR="008F1359" w:rsidRPr="008F1359" w:rsidRDefault="008F1359" w:rsidP="008F1359">
            <w:pPr>
              <w:numPr>
                <w:ilvl w:val="0"/>
                <w:numId w:val="3"/>
              </w:numPr>
              <w:spacing w:before="100" w:beforeAutospacing="1" w:after="100" w:afterAutospacing="1" w:line="240" w:lineRule="auto"/>
              <w:rPr>
                <w:rFonts w:ascii="Times New Roman" w:eastAsia="Times New Roman" w:hAnsi="Times New Roman" w:cs="Times New Roman"/>
                <w:kern w:val="0"/>
                <w:sz w:val="23"/>
                <w:szCs w:val="23"/>
                <w:lang w:eastAsia="it-IT"/>
                <w14:ligatures w14:val="none"/>
              </w:rPr>
            </w:pPr>
            <w:hyperlink r:id="rId10" w:anchor="p6" w:history="1">
              <w:r w:rsidRPr="008F1359">
                <w:rPr>
                  <w:rFonts w:ascii="Times New Roman" w:eastAsia="Times New Roman" w:hAnsi="Times New Roman" w:cs="Times New Roman"/>
                  <w:b/>
                  <w:bCs/>
                  <w:color w:val="1E5192"/>
                  <w:kern w:val="0"/>
                  <w:sz w:val="23"/>
                  <w:szCs w:val="23"/>
                  <w:u w:val="single"/>
                  <w:lang w:eastAsia="it-IT"/>
                  <w14:ligatures w14:val="none"/>
                </w:rPr>
                <w:t>Dispositivi di segnalazione delle biciclette</w:t>
              </w:r>
            </w:hyperlink>
          </w:p>
          <w:p w14:paraId="08679138" w14:textId="77777777" w:rsidR="008F1359" w:rsidRPr="008F1359" w:rsidRDefault="008F1359" w:rsidP="008F1359">
            <w:pPr>
              <w:numPr>
                <w:ilvl w:val="0"/>
                <w:numId w:val="3"/>
              </w:numPr>
              <w:spacing w:before="100" w:beforeAutospacing="1" w:after="100" w:afterAutospacing="1" w:line="240" w:lineRule="auto"/>
              <w:rPr>
                <w:rFonts w:ascii="Times New Roman" w:eastAsia="Times New Roman" w:hAnsi="Times New Roman" w:cs="Times New Roman"/>
                <w:kern w:val="0"/>
                <w:sz w:val="23"/>
                <w:szCs w:val="23"/>
                <w:lang w:eastAsia="it-IT"/>
                <w14:ligatures w14:val="none"/>
              </w:rPr>
            </w:pPr>
            <w:hyperlink r:id="rId11" w:anchor="p7" w:history="1">
              <w:r w:rsidRPr="008F1359">
                <w:rPr>
                  <w:rFonts w:ascii="Times New Roman" w:eastAsia="Times New Roman" w:hAnsi="Times New Roman" w:cs="Times New Roman"/>
                  <w:b/>
                  <w:bCs/>
                  <w:color w:val="1E5192"/>
                  <w:kern w:val="0"/>
                  <w:sz w:val="23"/>
                  <w:szCs w:val="23"/>
                  <w:u w:val="single"/>
                  <w:lang w:eastAsia="it-IT"/>
                  <w14:ligatures w14:val="none"/>
                </w:rPr>
                <w:t>Norme di comportamento</w:t>
              </w:r>
            </w:hyperlink>
          </w:p>
          <w:p w14:paraId="083AB9F5" w14:textId="77777777" w:rsidR="008F1359" w:rsidRPr="008F1359" w:rsidRDefault="008F1359" w:rsidP="008F1359">
            <w:pPr>
              <w:numPr>
                <w:ilvl w:val="0"/>
                <w:numId w:val="3"/>
              </w:numPr>
              <w:spacing w:before="100" w:beforeAutospacing="1" w:after="100" w:afterAutospacing="1" w:line="240" w:lineRule="auto"/>
              <w:rPr>
                <w:rFonts w:ascii="Times New Roman" w:eastAsia="Times New Roman" w:hAnsi="Times New Roman" w:cs="Times New Roman"/>
                <w:kern w:val="0"/>
                <w:sz w:val="23"/>
                <w:szCs w:val="23"/>
                <w:lang w:eastAsia="it-IT"/>
                <w14:ligatures w14:val="none"/>
              </w:rPr>
            </w:pPr>
            <w:hyperlink r:id="rId12" w:anchor="p8" w:history="1">
              <w:r w:rsidRPr="008F1359">
                <w:rPr>
                  <w:rFonts w:ascii="Times New Roman" w:eastAsia="Times New Roman" w:hAnsi="Times New Roman" w:cs="Times New Roman"/>
                  <w:b/>
                  <w:bCs/>
                  <w:color w:val="1E5192"/>
                  <w:kern w:val="0"/>
                  <w:sz w:val="23"/>
                  <w:szCs w:val="23"/>
                  <w:u w:val="single"/>
                  <w:lang w:eastAsia="it-IT"/>
                  <w14:ligatures w14:val="none"/>
                </w:rPr>
                <w:t>Guida notturna o in condizioni di pericolo</w:t>
              </w:r>
            </w:hyperlink>
          </w:p>
          <w:p w14:paraId="4FFCB0B6" w14:textId="77777777" w:rsidR="008F1359" w:rsidRPr="008F1359" w:rsidRDefault="008F1359" w:rsidP="008F1359">
            <w:pPr>
              <w:numPr>
                <w:ilvl w:val="0"/>
                <w:numId w:val="3"/>
              </w:numPr>
              <w:spacing w:before="100" w:beforeAutospacing="1" w:after="100" w:afterAutospacing="1" w:line="240" w:lineRule="auto"/>
              <w:rPr>
                <w:rFonts w:ascii="Times New Roman" w:eastAsia="Times New Roman" w:hAnsi="Times New Roman" w:cs="Times New Roman"/>
                <w:kern w:val="0"/>
                <w:sz w:val="23"/>
                <w:szCs w:val="23"/>
                <w:lang w:eastAsia="it-IT"/>
                <w14:ligatures w14:val="none"/>
              </w:rPr>
            </w:pPr>
            <w:hyperlink r:id="rId13" w:anchor="p9" w:history="1">
              <w:r w:rsidRPr="008F1359">
                <w:rPr>
                  <w:rFonts w:ascii="Times New Roman" w:eastAsia="Times New Roman" w:hAnsi="Times New Roman" w:cs="Times New Roman"/>
                  <w:b/>
                  <w:bCs/>
                  <w:color w:val="1E5192"/>
                  <w:kern w:val="0"/>
                  <w:sz w:val="23"/>
                  <w:szCs w:val="23"/>
                  <w:u w:val="single"/>
                  <w:lang w:eastAsia="it-IT"/>
                  <w14:ligatures w14:val="none"/>
                </w:rPr>
                <w:t>Sorpasso</w:t>
              </w:r>
            </w:hyperlink>
          </w:p>
        </w:tc>
      </w:tr>
    </w:tbl>
    <w:p w14:paraId="1BF3B64E" w14:textId="77777777" w:rsidR="008F1359" w:rsidRPr="008F1359" w:rsidRDefault="008F1359" w:rsidP="008F1359">
      <w:pPr>
        <w:shd w:val="clear" w:color="auto" w:fill="FFFFFF"/>
        <w:spacing w:after="0" w:line="240" w:lineRule="auto"/>
        <w:rPr>
          <w:rFonts w:ascii="Lato" w:eastAsia="Times New Roman" w:hAnsi="Lato" w:cs="Times New Roman"/>
          <w:vanish/>
          <w:color w:val="0C0C0F"/>
          <w:kern w:val="0"/>
          <w:sz w:val="24"/>
          <w:szCs w:val="24"/>
          <w:lang w:eastAsia="it-IT"/>
          <w14:ligatures w14:val="none"/>
        </w:rPr>
      </w:pPr>
    </w:p>
    <w:tbl>
      <w:tblPr>
        <w:tblW w:w="9613" w:type="dxa"/>
        <w:tblCellMar>
          <w:top w:w="15" w:type="dxa"/>
          <w:left w:w="15" w:type="dxa"/>
          <w:bottom w:w="15" w:type="dxa"/>
          <w:right w:w="15" w:type="dxa"/>
        </w:tblCellMar>
        <w:tblLook w:val="04A0" w:firstRow="1" w:lastRow="0" w:firstColumn="1" w:lastColumn="0" w:noHBand="0" w:noVBand="1"/>
      </w:tblPr>
      <w:tblGrid>
        <w:gridCol w:w="9613"/>
      </w:tblGrid>
      <w:tr w:rsidR="008F1359" w:rsidRPr="008F1359" w14:paraId="3B1E7DFC" w14:textId="77777777" w:rsidTr="008F1359">
        <w:tc>
          <w:tcPr>
            <w:tcW w:w="0" w:type="auto"/>
            <w:tcBorders>
              <w:top w:val="single" w:sz="6" w:space="0" w:color="D8D8D8"/>
              <w:left w:val="single" w:sz="6" w:space="0" w:color="D8D8D8"/>
              <w:bottom w:val="single" w:sz="6" w:space="0" w:color="D8D8D8"/>
              <w:right w:val="single" w:sz="6" w:space="0" w:color="D8D8D8"/>
            </w:tcBorders>
            <w:hideMark/>
          </w:tcPr>
          <w:p w14:paraId="6FA57FA3" w14:textId="77777777" w:rsidR="008F1359" w:rsidRPr="008F1359" w:rsidRDefault="008F1359" w:rsidP="008F1359">
            <w:pPr>
              <w:spacing w:after="0" w:line="240" w:lineRule="auto"/>
              <w:rPr>
                <w:rFonts w:ascii="Times New Roman" w:eastAsia="Times New Roman" w:hAnsi="Times New Roman" w:cs="Times New Roman"/>
                <w:kern w:val="0"/>
                <w:sz w:val="23"/>
                <w:szCs w:val="23"/>
                <w:lang w:eastAsia="it-IT"/>
                <w14:ligatures w14:val="none"/>
              </w:rPr>
            </w:pPr>
            <w:r w:rsidRPr="008F1359">
              <w:rPr>
                <w:rFonts w:ascii="Times New Roman" w:eastAsia="Times New Roman" w:hAnsi="Times New Roman" w:cs="Times New Roman"/>
                <w:noProof/>
                <w:color w:val="1E5192"/>
                <w:kern w:val="0"/>
                <w:sz w:val="23"/>
                <w:szCs w:val="23"/>
                <w:lang w:eastAsia="it-IT"/>
                <w14:ligatures w14:val="none"/>
              </w:rPr>
              <w:drawing>
                <wp:inline distT="0" distB="0" distL="0" distR="0" wp14:anchorId="7A6B1D74" wp14:editId="7A55D1B7">
                  <wp:extent cx="1666875" cy="2438400"/>
                  <wp:effectExtent l="0" t="0" r="9525" b="0"/>
                  <wp:docPr id="4" name="Immagine 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2438400"/>
                          </a:xfrm>
                          <a:prstGeom prst="rect">
                            <a:avLst/>
                          </a:prstGeom>
                          <a:noFill/>
                          <a:ln>
                            <a:noFill/>
                          </a:ln>
                        </pic:spPr>
                      </pic:pic>
                    </a:graphicData>
                  </a:graphic>
                </wp:inline>
              </w:drawing>
            </w:r>
            <w:r w:rsidRPr="008F1359">
              <w:rPr>
                <w:rFonts w:ascii="Times New Roman" w:eastAsia="Times New Roman" w:hAnsi="Times New Roman" w:cs="Times New Roman"/>
                <w:b/>
                <w:bCs/>
                <w:kern w:val="0"/>
                <w:sz w:val="23"/>
                <w:szCs w:val="23"/>
                <w:lang w:eastAsia="it-IT"/>
                <w14:ligatures w14:val="none"/>
              </w:rPr>
              <w:t>Responsabilità civile automobilistica</w:t>
            </w:r>
            <w:r w:rsidRPr="008F1359">
              <w:rPr>
                <w:rFonts w:ascii="Times New Roman" w:eastAsia="Times New Roman" w:hAnsi="Times New Roman" w:cs="Times New Roman"/>
                <w:kern w:val="0"/>
                <w:sz w:val="23"/>
                <w:szCs w:val="23"/>
                <w:lang w:eastAsia="it-IT"/>
                <w14:ligatures w14:val="none"/>
              </w:rPr>
              <w:t>, di Buffone Giuseppe, CEDAM, 2023. Il volume dà risposta agli interrogativi che le aule dei Tribunali pongono agli avvocati (e pure ai magistrati, periti e consulenti).</w:t>
            </w:r>
            <w:r w:rsidRPr="008F1359">
              <w:rPr>
                <w:rFonts w:ascii="Times New Roman" w:eastAsia="Times New Roman" w:hAnsi="Times New Roman" w:cs="Times New Roman"/>
                <w:kern w:val="0"/>
                <w:sz w:val="23"/>
                <w:szCs w:val="23"/>
                <w:lang w:eastAsia="it-IT"/>
                <w14:ligatures w14:val="none"/>
              </w:rPr>
              <w:br/>
            </w:r>
            <w:hyperlink r:id="rId16" w:tgtFrame="_blank" w:history="1">
              <w:r w:rsidRPr="008F1359">
                <w:rPr>
                  <w:rFonts w:ascii="Times New Roman" w:eastAsia="Times New Roman" w:hAnsi="Times New Roman" w:cs="Times New Roman"/>
                  <w:b/>
                  <w:bCs/>
                  <w:color w:val="1E5192"/>
                  <w:kern w:val="0"/>
                  <w:sz w:val="23"/>
                  <w:szCs w:val="23"/>
                  <w:u w:val="single"/>
                  <w:lang w:eastAsia="it-IT"/>
                  <w14:ligatures w14:val="none"/>
                </w:rPr>
                <w:t>Scarica gratuitamente l'estratto</w:t>
              </w:r>
            </w:hyperlink>
          </w:p>
        </w:tc>
      </w:tr>
    </w:tbl>
    <w:p w14:paraId="1BD40A6F" w14:textId="77777777" w:rsidR="008F1359" w:rsidRPr="008F1359" w:rsidRDefault="008F1359" w:rsidP="008F1359">
      <w:pPr>
        <w:shd w:val="clear" w:color="auto" w:fill="FFFFFF"/>
        <w:spacing w:before="100" w:beforeAutospacing="1" w:after="100" w:afterAutospacing="1" w:line="240" w:lineRule="auto"/>
        <w:outlineLvl w:val="1"/>
        <w:rPr>
          <w:rFonts w:ascii="Lato" w:eastAsia="Times New Roman" w:hAnsi="Lato" w:cs="Times New Roman"/>
          <w:b/>
          <w:bCs/>
          <w:color w:val="0C0C0F"/>
          <w:kern w:val="0"/>
          <w:sz w:val="36"/>
          <w:szCs w:val="36"/>
          <w:lang w:eastAsia="it-IT"/>
          <w14:ligatures w14:val="none"/>
        </w:rPr>
      </w:pPr>
      <w:r w:rsidRPr="008F1359">
        <w:rPr>
          <w:rFonts w:ascii="Lato" w:eastAsia="Times New Roman" w:hAnsi="Lato" w:cs="Times New Roman"/>
          <w:b/>
          <w:bCs/>
          <w:color w:val="0C0C0F"/>
          <w:kern w:val="0"/>
          <w:sz w:val="36"/>
          <w:szCs w:val="36"/>
          <w:lang w:eastAsia="it-IT"/>
          <w14:ligatures w14:val="none"/>
        </w:rPr>
        <w:t>1. Riforma 2024</w:t>
      </w:r>
    </w:p>
    <w:p w14:paraId="30A10EA8"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La legge di riforma al </w:t>
      </w:r>
      <w:r w:rsidRPr="008F1359">
        <w:rPr>
          <w:rFonts w:ascii="Lato" w:eastAsia="Times New Roman" w:hAnsi="Lato" w:cs="Times New Roman"/>
          <w:b/>
          <w:bCs/>
          <w:color w:val="0C0C0F"/>
          <w:kern w:val="0"/>
          <w:sz w:val="24"/>
          <w:szCs w:val="24"/>
          <w:lang w:eastAsia="it-IT"/>
          <w14:ligatures w14:val="none"/>
        </w:rPr>
        <w:t>Codice della Strada</w:t>
      </w:r>
      <w:r w:rsidRPr="008F1359">
        <w:rPr>
          <w:rFonts w:ascii="Lato" w:eastAsia="Times New Roman" w:hAnsi="Lato" w:cs="Times New Roman"/>
          <w:color w:val="0C0C0F"/>
          <w:kern w:val="0"/>
          <w:sz w:val="24"/>
          <w:szCs w:val="24"/>
          <w:lang w:eastAsia="it-IT"/>
          <w14:ligatures w14:val="none"/>
        </w:rPr>
        <w:t> (</w:t>
      </w:r>
      <w:hyperlink r:id="rId17" w:history="1">
        <w:r w:rsidRPr="008F1359">
          <w:rPr>
            <w:rFonts w:ascii="Lato" w:eastAsia="Times New Roman" w:hAnsi="Lato" w:cs="Times New Roman"/>
            <w:b/>
            <w:bCs/>
            <w:color w:val="1E5192"/>
            <w:kern w:val="0"/>
            <w:sz w:val="24"/>
            <w:szCs w:val="24"/>
            <w:u w:val="single"/>
            <w:lang w:eastAsia="it-IT"/>
            <w14:ligatures w14:val="none"/>
          </w:rPr>
          <w:t>Legge 25 novembre 2024, n. 177,</w:t>
        </w:r>
      </w:hyperlink>
      <w:r w:rsidRPr="008F1359">
        <w:rPr>
          <w:rFonts w:ascii="Lato" w:eastAsia="Times New Roman" w:hAnsi="Lato" w:cs="Times New Roman"/>
          <w:color w:val="0C0C0F"/>
          <w:kern w:val="0"/>
          <w:sz w:val="24"/>
          <w:szCs w:val="24"/>
          <w:lang w:eastAsia="it-IT"/>
          <w14:ligatures w14:val="none"/>
        </w:rPr>
        <w:t> che reca “Interventi in materia di sicurezza stradale e delega al Governo per la revisione del codice della strada, di cui al </w:t>
      </w:r>
      <w:hyperlink r:id="rId18" w:history="1">
        <w:r w:rsidRPr="008F1359">
          <w:rPr>
            <w:rFonts w:ascii="Lato" w:eastAsia="Times New Roman" w:hAnsi="Lato" w:cs="Times New Roman"/>
            <w:b/>
            <w:bCs/>
            <w:color w:val="1E5192"/>
            <w:kern w:val="0"/>
            <w:sz w:val="24"/>
            <w:szCs w:val="24"/>
            <w:u w:val="single"/>
            <w:lang w:eastAsia="it-IT"/>
            <w14:ligatures w14:val="none"/>
          </w:rPr>
          <w:t>decreto legislativo 30 aprile 1992, n. 285</w:t>
        </w:r>
      </w:hyperlink>
      <w:r w:rsidRPr="008F1359">
        <w:rPr>
          <w:rFonts w:ascii="Lato" w:eastAsia="Times New Roman" w:hAnsi="Lato" w:cs="Times New Roman"/>
          <w:color w:val="0C0C0F"/>
          <w:kern w:val="0"/>
          <w:sz w:val="24"/>
          <w:szCs w:val="24"/>
          <w:lang w:eastAsia="it-IT"/>
          <w14:ligatures w14:val="none"/>
        </w:rPr>
        <w:t>”), all’</w:t>
      </w:r>
      <w:r w:rsidRPr="008F1359">
        <w:rPr>
          <w:rFonts w:ascii="Lato" w:eastAsia="Times New Roman" w:hAnsi="Lato" w:cs="Times New Roman"/>
          <w:b/>
          <w:bCs/>
          <w:color w:val="0C0C0F"/>
          <w:kern w:val="0"/>
          <w:sz w:val="24"/>
          <w:szCs w:val="24"/>
          <w:lang w:eastAsia="it-IT"/>
          <w14:ligatures w14:val="none"/>
        </w:rPr>
        <w:t>articolo 15</w:t>
      </w:r>
      <w:r w:rsidRPr="008F1359">
        <w:rPr>
          <w:rFonts w:ascii="Lato" w:eastAsia="Times New Roman" w:hAnsi="Lato" w:cs="Times New Roman"/>
          <w:color w:val="0C0C0F"/>
          <w:kern w:val="0"/>
          <w:sz w:val="24"/>
          <w:szCs w:val="24"/>
          <w:lang w:eastAsia="it-IT"/>
          <w14:ligatures w14:val="none"/>
        </w:rPr>
        <w:t> in tema di “</w:t>
      </w:r>
      <w:r w:rsidRPr="008F1359">
        <w:rPr>
          <w:rFonts w:ascii="Lato" w:eastAsia="Times New Roman" w:hAnsi="Lato" w:cs="Times New Roman"/>
          <w:i/>
          <w:iCs/>
          <w:color w:val="0C0C0F"/>
          <w:kern w:val="0"/>
          <w:sz w:val="24"/>
          <w:szCs w:val="24"/>
          <w:lang w:eastAsia="it-IT"/>
          <w14:ligatures w14:val="none"/>
        </w:rPr>
        <w:t>Ciclabilità”, </w:t>
      </w:r>
      <w:r w:rsidRPr="008F1359">
        <w:rPr>
          <w:rFonts w:ascii="Lato" w:eastAsia="Times New Roman" w:hAnsi="Lato" w:cs="Times New Roman"/>
          <w:color w:val="0C0C0F"/>
          <w:kern w:val="0"/>
          <w:sz w:val="24"/>
          <w:szCs w:val="24"/>
          <w:lang w:eastAsia="it-IT"/>
          <w14:ligatures w14:val="none"/>
        </w:rPr>
        <w:t>contiene una serie di disposizioni che afferiscono alla circolazione delle biciclette, mediante la modifica:</w:t>
      </w:r>
    </w:p>
    <w:p w14:paraId="2DBBFDB4" w14:textId="77777777" w:rsidR="008F1359" w:rsidRPr="008F1359" w:rsidRDefault="008F1359" w:rsidP="008F1359">
      <w:pPr>
        <w:numPr>
          <w:ilvl w:val="0"/>
          <w:numId w:val="4"/>
        </w:numPr>
        <w:shd w:val="clear" w:color="auto" w:fill="FFFFFF"/>
        <w:spacing w:after="159"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di alcune definizioni legislative;</w:t>
      </w:r>
    </w:p>
    <w:p w14:paraId="20009E7C" w14:textId="77777777" w:rsidR="008F1359" w:rsidRPr="008F1359" w:rsidRDefault="008F1359" w:rsidP="008F1359">
      <w:pPr>
        <w:numPr>
          <w:ilvl w:val="0"/>
          <w:numId w:val="4"/>
        </w:numPr>
        <w:shd w:val="clear" w:color="auto" w:fill="FFFFFF"/>
        <w:spacing w:after="159"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dei poteri dei comuni;</w:t>
      </w:r>
    </w:p>
    <w:p w14:paraId="52CCC872" w14:textId="77777777" w:rsidR="008F1359" w:rsidRPr="008F1359" w:rsidRDefault="008F1359" w:rsidP="008F1359">
      <w:pPr>
        <w:numPr>
          <w:ilvl w:val="0"/>
          <w:numId w:val="4"/>
        </w:numPr>
        <w:shd w:val="clear" w:color="auto" w:fill="FFFFFF"/>
        <w:spacing w:after="159"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della disciplina del sorpasso.</w:t>
      </w:r>
    </w:p>
    <w:p w14:paraId="1532AF9C" w14:textId="77777777" w:rsidR="008F1359" w:rsidRPr="008F1359" w:rsidRDefault="008F1359" w:rsidP="008F1359">
      <w:pPr>
        <w:shd w:val="clear" w:color="auto" w:fill="FFFFFF"/>
        <w:spacing w:before="100" w:beforeAutospacing="1" w:after="100" w:afterAutospacing="1" w:line="240" w:lineRule="auto"/>
        <w:outlineLvl w:val="1"/>
        <w:rPr>
          <w:rFonts w:ascii="Lato" w:eastAsia="Times New Roman" w:hAnsi="Lato" w:cs="Times New Roman"/>
          <w:b/>
          <w:bCs/>
          <w:color w:val="0C0C0F"/>
          <w:kern w:val="0"/>
          <w:sz w:val="36"/>
          <w:szCs w:val="36"/>
          <w:lang w:eastAsia="it-IT"/>
          <w14:ligatures w14:val="none"/>
        </w:rPr>
      </w:pPr>
      <w:r w:rsidRPr="008F1359">
        <w:rPr>
          <w:rFonts w:ascii="Lato" w:eastAsia="Times New Roman" w:hAnsi="Lato" w:cs="Times New Roman"/>
          <w:b/>
          <w:bCs/>
          <w:color w:val="0C0C0F"/>
          <w:kern w:val="0"/>
          <w:sz w:val="36"/>
          <w:szCs w:val="36"/>
          <w:lang w:eastAsia="it-IT"/>
          <w14:ligatures w14:val="none"/>
        </w:rPr>
        <w:t>2. Utenti vulnerabili e interventi sulla sicurezza</w:t>
      </w:r>
    </w:p>
    <w:p w14:paraId="5487A041"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lastRenderedPageBreak/>
        <w:t>La riforma del 2024 considera </w:t>
      </w:r>
      <w:r w:rsidRPr="008F1359">
        <w:rPr>
          <w:rFonts w:ascii="Lato" w:eastAsia="Times New Roman" w:hAnsi="Lato" w:cs="Times New Roman"/>
          <w:b/>
          <w:bCs/>
          <w:color w:val="0C0C0F"/>
          <w:kern w:val="0"/>
          <w:sz w:val="24"/>
          <w:szCs w:val="24"/>
          <w:lang w:eastAsia="it-IT"/>
          <w14:ligatures w14:val="none"/>
        </w:rPr>
        <w:t>utenti della strada vulnerabili anche i conducenti di ciclomotori e motocicli</w:t>
      </w:r>
      <w:r w:rsidRPr="008F1359">
        <w:rPr>
          <w:rFonts w:ascii="Lato" w:eastAsia="Times New Roman" w:hAnsi="Lato" w:cs="Times New Roman"/>
          <w:color w:val="0C0C0F"/>
          <w:kern w:val="0"/>
          <w:sz w:val="24"/>
          <w:szCs w:val="24"/>
          <w:lang w:eastAsia="it-IT"/>
          <w14:ligatures w14:val="none"/>
        </w:rPr>
        <w:t>. Per l’effetto, nella novella definizione di “</w:t>
      </w:r>
      <w:r w:rsidRPr="008F1359">
        <w:rPr>
          <w:rFonts w:ascii="Lato" w:eastAsia="Times New Roman" w:hAnsi="Lato" w:cs="Times New Roman"/>
          <w:b/>
          <w:bCs/>
          <w:color w:val="0C0C0F"/>
          <w:kern w:val="0"/>
          <w:sz w:val="24"/>
          <w:szCs w:val="24"/>
          <w:lang w:eastAsia="it-IT"/>
          <w14:ligatures w14:val="none"/>
        </w:rPr>
        <w:t>Utente vulnerabile della strada</w:t>
      </w:r>
      <w:r w:rsidRPr="008F1359">
        <w:rPr>
          <w:rFonts w:ascii="Lato" w:eastAsia="Times New Roman" w:hAnsi="Lato" w:cs="Times New Roman"/>
          <w:color w:val="0C0C0F"/>
          <w:kern w:val="0"/>
          <w:sz w:val="24"/>
          <w:szCs w:val="24"/>
          <w:lang w:eastAsia="it-IT"/>
          <w14:ligatures w14:val="none"/>
        </w:rPr>
        <w:t>” sono ricompresi “pedoni, persone con disabilità, ciclisti, conducenti di ciclomotori e motocicli e tutti coloro i quali meritino una tutela particolare dai pericoli derivanti dalla circolazione sulle strade”.</w:t>
      </w:r>
    </w:p>
    <w:p w14:paraId="721BBA5F"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La novella fa seguito alle audizioni parlamentari di soggetti espressione anche dei guidatori di mezzi a due ruote, i quali con una qualche frequenza risultano vittime di sinistri sia a opera di conducenti di automobili sia per il dissesto della strada.</w:t>
      </w:r>
    </w:p>
    <w:p w14:paraId="2CC9C9C5"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Pertanto, analoga modifica testuale è stata apportata all’</w:t>
      </w:r>
      <w:r w:rsidRPr="008F1359">
        <w:rPr>
          <w:rFonts w:ascii="Lato" w:eastAsia="Times New Roman" w:hAnsi="Lato" w:cs="Times New Roman"/>
          <w:b/>
          <w:bCs/>
          <w:color w:val="0C0C0F"/>
          <w:kern w:val="0"/>
          <w:sz w:val="24"/>
          <w:szCs w:val="24"/>
          <w:lang w:eastAsia="it-IT"/>
          <w14:ligatures w14:val="none"/>
        </w:rPr>
        <w:t>art. 208, comma 4, lett. </w:t>
      </w:r>
      <w:r w:rsidRPr="008F1359">
        <w:rPr>
          <w:rFonts w:ascii="Lato" w:eastAsia="Times New Roman" w:hAnsi="Lato" w:cs="Times New Roman"/>
          <w:b/>
          <w:bCs/>
          <w:i/>
          <w:iCs/>
          <w:color w:val="0C0C0F"/>
          <w:kern w:val="0"/>
          <w:sz w:val="24"/>
          <w:szCs w:val="24"/>
          <w:lang w:eastAsia="it-IT"/>
          <w14:ligatures w14:val="none"/>
        </w:rPr>
        <w:t>c)</w:t>
      </w:r>
      <w:r w:rsidRPr="008F1359">
        <w:rPr>
          <w:rFonts w:ascii="Lato" w:eastAsia="Times New Roman" w:hAnsi="Lato" w:cs="Times New Roman"/>
          <w:i/>
          <w:iCs/>
          <w:color w:val="0C0C0F"/>
          <w:kern w:val="0"/>
          <w:sz w:val="24"/>
          <w:szCs w:val="24"/>
          <w:lang w:eastAsia="it-IT"/>
          <w14:ligatures w14:val="none"/>
        </w:rPr>
        <w:t> </w:t>
      </w:r>
      <w:r w:rsidRPr="008F1359">
        <w:rPr>
          <w:rFonts w:ascii="Lato" w:eastAsia="Times New Roman" w:hAnsi="Lato" w:cs="Times New Roman"/>
          <w:color w:val="0C0C0F"/>
          <w:kern w:val="0"/>
          <w:sz w:val="24"/>
          <w:szCs w:val="24"/>
          <w:lang w:eastAsia="it-IT"/>
          <w14:ligatures w14:val="none"/>
        </w:rPr>
        <w:t>del medesimo codice della strada a proposito della </w:t>
      </w:r>
      <w:r w:rsidRPr="008F1359">
        <w:rPr>
          <w:rFonts w:ascii="Lato" w:eastAsia="Times New Roman" w:hAnsi="Lato" w:cs="Times New Roman"/>
          <w:b/>
          <w:bCs/>
          <w:color w:val="0C0C0F"/>
          <w:kern w:val="0"/>
          <w:sz w:val="24"/>
          <w:szCs w:val="24"/>
          <w:lang w:eastAsia="it-IT"/>
          <w14:ligatures w14:val="none"/>
        </w:rPr>
        <w:t>destinazione dei proventi delle sanzioni amministrative le violazioni stradali</w:t>
      </w:r>
      <w:r w:rsidRPr="008F1359">
        <w:rPr>
          <w:rFonts w:ascii="Lato" w:eastAsia="Times New Roman" w:hAnsi="Lato" w:cs="Times New Roman"/>
          <w:color w:val="0C0C0F"/>
          <w:kern w:val="0"/>
          <w:sz w:val="24"/>
          <w:szCs w:val="24"/>
          <w:lang w:eastAsia="it-IT"/>
          <w14:ligatures w14:val="none"/>
        </w:rPr>
        <w:t>: tale disposizione stabilisce che una quota di tali somme sia destinata a </w:t>
      </w:r>
      <w:r w:rsidRPr="008F1359">
        <w:rPr>
          <w:rFonts w:ascii="Lato" w:eastAsia="Times New Roman" w:hAnsi="Lato" w:cs="Times New Roman"/>
          <w:b/>
          <w:bCs/>
          <w:color w:val="0C0C0F"/>
          <w:kern w:val="0"/>
          <w:sz w:val="24"/>
          <w:szCs w:val="24"/>
          <w:lang w:eastAsia="it-IT"/>
          <w14:ligatures w14:val="none"/>
        </w:rPr>
        <w:t>interventi per la sicurezza stradale a tutela degli utenti vulnerabili</w:t>
      </w:r>
      <w:r w:rsidRPr="008F1359">
        <w:rPr>
          <w:rFonts w:ascii="Lato" w:eastAsia="Times New Roman" w:hAnsi="Lato" w:cs="Times New Roman"/>
          <w:color w:val="0C0C0F"/>
          <w:kern w:val="0"/>
          <w:sz w:val="24"/>
          <w:szCs w:val="24"/>
          <w:lang w:eastAsia="it-IT"/>
          <w14:ligatures w14:val="none"/>
        </w:rPr>
        <w:t>, nel cui novero sono stati appunto aggiunti i conducenti di ciclomotori e motocicli.</w:t>
      </w:r>
    </w:p>
    <w:p w14:paraId="544E5CC3" w14:textId="77777777" w:rsidR="008F1359" w:rsidRPr="008F1359" w:rsidRDefault="008F1359" w:rsidP="008F1359">
      <w:pPr>
        <w:shd w:val="clear" w:color="auto" w:fill="FFFFFF"/>
        <w:spacing w:before="100" w:beforeAutospacing="1" w:after="100" w:afterAutospacing="1" w:line="240" w:lineRule="auto"/>
        <w:outlineLvl w:val="1"/>
        <w:rPr>
          <w:rFonts w:ascii="Lato" w:eastAsia="Times New Roman" w:hAnsi="Lato" w:cs="Times New Roman"/>
          <w:b/>
          <w:bCs/>
          <w:color w:val="0C0C0F"/>
          <w:kern w:val="0"/>
          <w:sz w:val="36"/>
          <w:szCs w:val="36"/>
          <w:lang w:eastAsia="it-IT"/>
          <w14:ligatures w14:val="none"/>
        </w:rPr>
      </w:pPr>
      <w:r w:rsidRPr="008F1359">
        <w:rPr>
          <w:rFonts w:ascii="Lato" w:eastAsia="Times New Roman" w:hAnsi="Lato" w:cs="Times New Roman"/>
          <w:b/>
          <w:bCs/>
          <w:color w:val="0C0C0F"/>
          <w:kern w:val="0"/>
          <w:sz w:val="36"/>
          <w:szCs w:val="36"/>
          <w:lang w:eastAsia="it-IT"/>
          <w14:ligatures w14:val="none"/>
        </w:rPr>
        <w:t>3. Strada urbana ciclabile</w:t>
      </w:r>
    </w:p>
    <w:p w14:paraId="5D4988A5"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Nelle definizioni di cui all’</w:t>
      </w:r>
      <w:r w:rsidRPr="008F1359">
        <w:rPr>
          <w:rFonts w:ascii="Lato" w:eastAsia="Times New Roman" w:hAnsi="Lato" w:cs="Times New Roman"/>
          <w:b/>
          <w:bCs/>
          <w:color w:val="0C0C0F"/>
          <w:kern w:val="0"/>
          <w:sz w:val="24"/>
          <w:szCs w:val="24"/>
          <w:lang w:eastAsia="it-IT"/>
          <w14:ligatures w14:val="none"/>
        </w:rPr>
        <w:t>art. 2, comma 3</w:t>
      </w:r>
      <w:r w:rsidRPr="008F1359">
        <w:rPr>
          <w:rFonts w:ascii="Lato" w:eastAsia="Times New Roman" w:hAnsi="Lato" w:cs="Times New Roman"/>
          <w:color w:val="0C0C0F"/>
          <w:kern w:val="0"/>
          <w:sz w:val="24"/>
          <w:szCs w:val="24"/>
          <w:lang w:eastAsia="it-IT"/>
          <w14:ligatures w14:val="none"/>
        </w:rPr>
        <w:t>, del </w:t>
      </w:r>
      <w:r w:rsidRPr="008F1359">
        <w:rPr>
          <w:rFonts w:ascii="Lato" w:eastAsia="Times New Roman" w:hAnsi="Lato" w:cs="Times New Roman"/>
          <w:b/>
          <w:bCs/>
          <w:color w:val="0C0C0F"/>
          <w:kern w:val="0"/>
          <w:sz w:val="24"/>
          <w:szCs w:val="24"/>
          <w:lang w:eastAsia="it-IT"/>
          <w14:ligatures w14:val="none"/>
        </w:rPr>
        <w:t>codice della strada</w:t>
      </w:r>
      <w:r w:rsidRPr="008F1359">
        <w:rPr>
          <w:rFonts w:ascii="Lato" w:eastAsia="Times New Roman" w:hAnsi="Lato" w:cs="Times New Roman"/>
          <w:color w:val="0C0C0F"/>
          <w:kern w:val="0"/>
          <w:sz w:val="24"/>
          <w:szCs w:val="24"/>
          <w:lang w:eastAsia="it-IT"/>
          <w14:ligatures w14:val="none"/>
        </w:rPr>
        <w:t> la lett. E-</w:t>
      </w:r>
      <w:r w:rsidRPr="008F1359">
        <w:rPr>
          <w:rFonts w:ascii="Lato" w:eastAsia="Times New Roman" w:hAnsi="Lato" w:cs="Times New Roman"/>
          <w:i/>
          <w:iCs/>
          <w:color w:val="0C0C0F"/>
          <w:kern w:val="0"/>
          <w:sz w:val="24"/>
          <w:szCs w:val="24"/>
          <w:lang w:eastAsia="it-IT"/>
          <w14:ligatures w14:val="none"/>
        </w:rPr>
        <w:t>bis</w:t>
      </w:r>
      <w:r w:rsidRPr="008F1359">
        <w:rPr>
          <w:rFonts w:ascii="Lato" w:eastAsia="Times New Roman" w:hAnsi="Lato" w:cs="Times New Roman"/>
          <w:color w:val="0C0C0F"/>
          <w:kern w:val="0"/>
          <w:sz w:val="24"/>
          <w:szCs w:val="24"/>
          <w:lang w:eastAsia="it-IT"/>
          <w14:ligatures w14:val="none"/>
        </w:rPr>
        <w:t>, che già conteneva una definizione di “</w:t>
      </w:r>
      <w:r w:rsidRPr="008F1359">
        <w:rPr>
          <w:rFonts w:ascii="Lato" w:eastAsia="Times New Roman" w:hAnsi="Lato" w:cs="Times New Roman"/>
          <w:b/>
          <w:bCs/>
          <w:color w:val="0C0C0F"/>
          <w:kern w:val="0"/>
          <w:sz w:val="24"/>
          <w:szCs w:val="24"/>
          <w:lang w:eastAsia="it-IT"/>
          <w14:ligatures w14:val="none"/>
        </w:rPr>
        <w:t>Strada urbana ciclabile</w:t>
      </w:r>
      <w:r w:rsidRPr="008F1359">
        <w:rPr>
          <w:rFonts w:ascii="Lato" w:eastAsia="Times New Roman" w:hAnsi="Lato" w:cs="Times New Roman"/>
          <w:color w:val="0C0C0F"/>
          <w:kern w:val="0"/>
          <w:sz w:val="24"/>
          <w:szCs w:val="24"/>
          <w:lang w:eastAsia="it-IT"/>
          <w14:ligatures w14:val="none"/>
        </w:rPr>
        <w:t>” (come strada urbana a unica carreggiata, con banchine pavimentate e marciapiedi, con limite di velocità non superiore a 30 km/h, definita da apposita segnaletica verticale ed orizzontale, con priorità per i velocipedi) a seguito della riforma è definita quale “</w:t>
      </w:r>
      <w:r w:rsidRPr="008F1359">
        <w:rPr>
          <w:rFonts w:ascii="Lato" w:eastAsia="Times New Roman" w:hAnsi="Lato" w:cs="Times New Roman"/>
          <w:b/>
          <w:bCs/>
          <w:color w:val="0C0C0F"/>
          <w:kern w:val="0"/>
          <w:sz w:val="24"/>
          <w:szCs w:val="24"/>
          <w:lang w:eastAsia="it-IT"/>
          <w14:ligatures w14:val="none"/>
        </w:rPr>
        <w:t>strada urbana a unica carreggiata, con limite di velocità non superiore a 30 km/h, definita da apposita segnaletica verticale, con priorità per i velocipedi</w:t>
      </w:r>
      <w:r w:rsidRPr="008F1359">
        <w:rPr>
          <w:rFonts w:ascii="Lato" w:eastAsia="Times New Roman" w:hAnsi="Lato" w:cs="Times New Roman"/>
          <w:color w:val="0C0C0F"/>
          <w:kern w:val="0"/>
          <w:sz w:val="24"/>
          <w:szCs w:val="24"/>
          <w:lang w:eastAsia="it-IT"/>
          <w14:ligatures w14:val="none"/>
        </w:rPr>
        <w:t>”.</w:t>
      </w:r>
    </w:p>
    <w:p w14:paraId="690BF9AE"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In sostanza, la definizione si dilata perché vengono meno i necessari requisiti della pavimentazione e del marciapiede nonché la segnaletica orizzontale.</w:t>
      </w:r>
    </w:p>
    <w:p w14:paraId="0B767CF4" w14:textId="77777777" w:rsidR="008F1359" w:rsidRPr="008F1359" w:rsidRDefault="008F1359" w:rsidP="008F1359">
      <w:pPr>
        <w:shd w:val="clear" w:color="auto" w:fill="FFFFFF"/>
        <w:spacing w:before="100" w:beforeAutospacing="1" w:after="100" w:afterAutospacing="1" w:line="240" w:lineRule="auto"/>
        <w:outlineLvl w:val="1"/>
        <w:rPr>
          <w:rFonts w:ascii="Lato" w:eastAsia="Times New Roman" w:hAnsi="Lato" w:cs="Times New Roman"/>
          <w:b/>
          <w:bCs/>
          <w:color w:val="0C0C0F"/>
          <w:kern w:val="0"/>
          <w:sz w:val="36"/>
          <w:szCs w:val="36"/>
          <w:lang w:eastAsia="it-IT"/>
          <w14:ligatures w14:val="none"/>
        </w:rPr>
      </w:pPr>
      <w:r w:rsidRPr="008F1359">
        <w:rPr>
          <w:rFonts w:ascii="Lato" w:eastAsia="Times New Roman" w:hAnsi="Lato" w:cs="Times New Roman"/>
          <w:b/>
          <w:bCs/>
          <w:color w:val="0C0C0F"/>
          <w:kern w:val="0"/>
          <w:sz w:val="36"/>
          <w:szCs w:val="36"/>
          <w:lang w:eastAsia="it-IT"/>
          <w14:ligatures w14:val="none"/>
        </w:rPr>
        <w:t>4. Corsia ciclabile</w:t>
      </w:r>
    </w:p>
    <w:p w14:paraId="5BA44FF7"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La stessa riforma del 2024 va a meglio precisare, o addirittura inserire ex novo, alcune definizioni in tema di ciclabilità:</w:t>
      </w:r>
    </w:p>
    <w:p w14:paraId="499CA0D4" w14:textId="77777777" w:rsidR="008F1359" w:rsidRPr="008F1359" w:rsidRDefault="008F1359" w:rsidP="008F1359">
      <w:pPr>
        <w:numPr>
          <w:ilvl w:val="1"/>
          <w:numId w:val="5"/>
        </w:num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b/>
          <w:bCs/>
          <w:color w:val="0C0C0F"/>
          <w:kern w:val="0"/>
          <w:sz w:val="24"/>
          <w:szCs w:val="24"/>
          <w:lang w:eastAsia="it-IT"/>
          <w14:ligatures w14:val="none"/>
        </w:rPr>
        <w:t>Corsia ciclabile</w:t>
      </w:r>
      <w:r w:rsidRPr="008F1359">
        <w:rPr>
          <w:rFonts w:ascii="Lato" w:eastAsia="Times New Roman" w:hAnsi="Lato" w:cs="Times New Roman"/>
          <w:color w:val="0C0C0F"/>
          <w:kern w:val="0"/>
          <w:sz w:val="24"/>
          <w:szCs w:val="24"/>
          <w:lang w:eastAsia="it-IT"/>
          <w14:ligatures w14:val="none"/>
        </w:rPr>
        <w:t>: parte longitudinale della carreggiata, posta a destra, idonea a favorire la circolazione dei velocipedi sulle strade urbane anche in modo promiscuo con la circolazione degli altri veicoli nello stesso senso di marcia, nei soli casi in cui non sia possibile l’inserimento di una pista ciclabile;</w:t>
      </w:r>
    </w:p>
    <w:p w14:paraId="18D2C6A6" w14:textId="77777777" w:rsidR="008F1359" w:rsidRPr="008F1359" w:rsidRDefault="008F1359" w:rsidP="008F1359">
      <w:pPr>
        <w:numPr>
          <w:ilvl w:val="1"/>
          <w:numId w:val="5"/>
        </w:num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b/>
          <w:bCs/>
          <w:color w:val="0C0C0F"/>
          <w:kern w:val="0"/>
          <w:sz w:val="24"/>
          <w:szCs w:val="24"/>
          <w:lang w:eastAsia="it-IT"/>
          <w14:ligatures w14:val="none"/>
        </w:rPr>
        <w:t>Corsia ciclabile per doppio senso ciclabile</w:t>
      </w:r>
      <w:r w:rsidRPr="008F1359">
        <w:rPr>
          <w:rFonts w:ascii="Lato" w:eastAsia="Times New Roman" w:hAnsi="Lato" w:cs="Times New Roman"/>
          <w:color w:val="0C0C0F"/>
          <w:kern w:val="0"/>
          <w:sz w:val="24"/>
          <w:szCs w:val="24"/>
          <w:lang w:eastAsia="it-IT"/>
          <w14:ligatures w14:val="none"/>
        </w:rPr>
        <w:t>: parte longitudinale della carreggiata di strade urbane precedentemente a senso unico di marcia, idonea a consentire la circolazione dei velocipedi in senso opposto;</w:t>
      </w:r>
    </w:p>
    <w:p w14:paraId="691B9BC7" w14:textId="77777777" w:rsidR="008F1359" w:rsidRPr="008F1359" w:rsidRDefault="008F1359" w:rsidP="008F1359">
      <w:pPr>
        <w:numPr>
          <w:ilvl w:val="1"/>
          <w:numId w:val="5"/>
        </w:num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b/>
          <w:bCs/>
          <w:color w:val="0C0C0F"/>
          <w:kern w:val="0"/>
          <w:sz w:val="24"/>
          <w:szCs w:val="24"/>
          <w:lang w:eastAsia="it-IT"/>
          <w14:ligatures w14:val="none"/>
        </w:rPr>
        <w:t>Zona Ciclabile</w:t>
      </w:r>
      <w:r w:rsidRPr="008F1359">
        <w:rPr>
          <w:rFonts w:ascii="Lato" w:eastAsia="Times New Roman" w:hAnsi="Lato" w:cs="Times New Roman"/>
          <w:color w:val="0C0C0F"/>
          <w:kern w:val="0"/>
          <w:sz w:val="24"/>
          <w:szCs w:val="24"/>
          <w:lang w:eastAsia="it-IT"/>
          <w14:ligatures w14:val="none"/>
        </w:rPr>
        <w:t>: zona urbana in cui vigono particolari regole di circolazione con priorità per i velocipedi, delimitata lungo le vie di accesso dagli appositi segnali di inizio e fine;</w:t>
      </w:r>
    </w:p>
    <w:p w14:paraId="63341A73" w14:textId="77777777" w:rsidR="008F1359" w:rsidRPr="008F1359" w:rsidRDefault="008F1359" w:rsidP="008F1359">
      <w:pPr>
        <w:numPr>
          <w:ilvl w:val="1"/>
          <w:numId w:val="5"/>
        </w:num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b/>
          <w:bCs/>
          <w:color w:val="0C0C0F"/>
          <w:kern w:val="0"/>
          <w:sz w:val="24"/>
          <w:szCs w:val="24"/>
          <w:lang w:eastAsia="it-IT"/>
          <w14:ligatures w14:val="none"/>
        </w:rPr>
        <w:t>Zona di Attestamento Ciclabile</w:t>
      </w:r>
      <w:r w:rsidRPr="008F1359">
        <w:rPr>
          <w:rFonts w:ascii="Lato" w:eastAsia="Times New Roman" w:hAnsi="Lato" w:cs="Times New Roman"/>
          <w:color w:val="0C0C0F"/>
          <w:kern w:val="0"/>
          <w:sz w:val="24"/>
          <w:szCs w:val="24"/>
          <w:lang w:eastAsia="it-IT"/>
          <w14:ligatures w14:val="none"/>
        </w:rPr>
        <w:t>: tratto di carreggiata compreso tra due linee di arresto, destinata all’accumulo e alle manovre dei velocipedi in attesa di via libera.</w:t>
      </w:r>
    </w:p>
    <w:p w14:paraId="60E7A2F7"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L’</w:t>
      </w:r>
      <w:r w:rsidRPr="008F1359">
        <w:rPr>
          <w:rFonts w:ascii="Lato" w:eastAsia="Times New Roman" w:hAnsi="Lato" w:cs="Times New Roman"/>
          <w:b/>
          <w:bCs/>
          <w:color w:val="0C0C0F"/>
          <w:kern w:val="0"/>
          <w:sz w:val="24"/>
          <w:szCs w:val="24"/>
          <w:lang w:eastAsia="it-IT"/>
          <w14:ligatures w14:val="none"/>
        </w:rPr>
        <w:t>articolo 15, comma 2</w:t>
      </w:r>
      <w:r w:rsidRPr="008F1359">
        <w:rPr>
          <w:rFonts w:ascii="Lato" w:eastAsia="Times New Roman" w:hAnsi="Lato" w:cs="Times New Roman"/>
          <w:color w:val="0C0C0F"/>
          <w:kern w:val="0"/>
          <w:sz w:val="24"/>
          <w:szCs w:val="24"/>
          <w:lang w:eastAsia="it-IT"/>
          <w14:ligatures w14:val="none"/>
        </w:rPr>
        <w:t> rimette la determinazione delle condizioni per la realizzazione della “corsia ciclabile” di cui all’</w:t>
      </w:r>
      <w:r w:rsidRPr="008F1359">
        <w:rPr>
          <w:rFonts w:ascii="Lato" w:eastAsia="Times New Roman" w:hAnsi="Lato" w:cs="Times New Roman"/>
          <w:b/>
          <w:bCs/>
          <w:color w:val="0C0C0F"/>
          <w:kern w:val="0"/>
          <w:sz w:val="24"/>
          <w:szCs w:val="24"/>
          <w:lang w:eastAsia="it-IT"/>
          <w14:ligatures w14:val="none"/>
        </w:rPr>
        <w:t>articolo 3, comma 1, numero 12-</w:t>
      </w:r>
      <w:r w:rsidRPr="008F1359">
        <w:rPr>
          <w:rFonts w:ascii="Lato" w:eastAsia="Times New Roman" w:hAnsi="Lato" w:cs="Times New Roman"/>
          <w:b/>
          <w:bCs/>
          <w:i/>
          <w:iCs/>
          <w:color w:val="0C0C0F"/>
          <w:kern w:val="0"/>
          <w:sz w:val="24"/>
          <w:szCs w:val="24"/>
          <w:lang w:eastAsia="it-IT"/>
          <w14:ligatures w14:val="none"/>
        </w:rPr>
        <w:t>bis</w:t>
      </w:r>
      <w:r w:rsidRPr="008F1359">
        <w:rPr>
          <w:rFonts w:ascii="Lato" w:eastAsia="Times New Roman" w:hAnsi="Lato" w:cs="Times New Roman"/>
          <w:b/>
          <w:bCs/>
          <w:color w:val="0C0C0F"/>
          <w:kern w:val="0"/>
          <w:sz w:val="24"/>
          <w:szCs w:val="24"/>
          <w:lang w:eastAsia="it-IT"/>
          <w14:ligatures w14:val="none"/>
        </w:rPr>
        <w:t>)</w:t>
      </w:r>
      <w:r w:rsidRPr="008F1359">
        <w:rPr>
          <w:rFonts w:ascii="Lato" w:eastAsia="Times New Roman" w:hAnsi="Lato" w:cs="Times New Roman"/>
          <w:color w:val="0C0C0F"/>
          <w:kern w:val="0"/>
          <w:sz w:val="24"/>
          <w:szCs w:val="24"/>
          <w:lang w:eastAsia="it-IT"/>
          <w14:ligatures w14:val="none"/>
        </w:rPr>
        <w:t>, del codice della strada nonché della relativa segnaletica, in ambito sia urbano che extraurbano, a un </w:t>
      </w:r>
      <w:r w:rsidRPr="008F1359">
        <w:rPr>
          <w:rFonts w:ascii="Lato" w:eastAsia="Times New Roman" w:hAnsi="Lato" w:cs="Times New Roman"/>
          <w:b/>
          <w:bCs/>
          <w:color w:val="0C0C0F"/>
          <w:kern w:val="0"/>
          <w:sz w:val="24"/>
          <w:szCs w:val="24"/>
          <w:lang w:eastAsia="it-IT"/>
          <w14:ligatures w14:val="none"/>
        </w:rPr>
        <w:t>decreto del MIT</w:t>
      </w:r>
      <w:r w:rsidRPr="008F1359">
        <w:rPr>
          <w:rFonts w:ascii="Lato" w:eastAsia="Times New Roman" w:hAnsi="Lato" w:cs="Times New Roman"/>
          <w:color w:val="0C0C0F"/>
          <w:kern w:val="0"/>
          <w:sz w:val="24"/>
          <w:szCs w:val="24"/>
          <w:lang w:eastAsia="it-IT"/>
          <w14:ligatures w14:val="none"/>
        </w:rPr>
        <w:t>, da adottare entro 60 giorni dalla data di entrata in vigore della legge, sentita la Conferenza unificata.</w:t>
      </w:r>
    </w:p>
    <w:p w14:paraId="3163BADE"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lastRenderedPageBreak/>
        <w:t>La previsione è stata introdotta con l’obiettivo specifico di tenere conto delle esigenze rappresentate in sede di Conferenza unificata e risolvere le criticità che potrebbero insorgere in sede applicativa. Al riguardo, i rappresentanti degli enti territoriali hanno evidenziato le differenti condizioni che le strade, urbane ed extraurbane, presentano in relazione al contesto territoriale di riferimento.</w:t>
      </w:r>
    </w:p>
    <w:p w14:paraId="5A04A805"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Si pensi, a titolo esemplificativo, a una strada extraurbana che non presenti le caratteristiche richieste per la realizzazione di una pista ciclabile e che, tuttavia, consenta la circolazione dei ciclisti in sicurezza, in quanto poco trafficata, a senso unico o caratterizzata dall’imposizione di ridotti limiti di velocità.</w:t>
      </w:r>
    </w:p>
    <w:p w14:paraId="7FAEABB1" w14:textId="77777777" w:rsidR="008F1359" w:rsidRPr="008F1359" w:rsidRDefault="008F1359" w:rsidP="008F1359">
      <w:pPr>
        <w:numPr>
          <w:ilvl w:val="1"/>
          <w:numId w:val="6"/>
        </w:num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b/>
          <w:bCs/>
          <w:color w:val="0C0C0F"/>
          <w:kern w:val="0"/>
          <w:sz w:val="24"/>
          <w:szCs w:val="24"/>
          <w:lang w:eastAsia="it-IT"/>
          <w14:ligatures w14:val="none"/>
        </w:rPr>
        <w:t>Poteri dei Comuni</w:t>
      </w:r>
    </w:p>
    <w:p w14:paraId="6AFDAA5F" w14:textId="77777777" w:rsidR="008F1359" w:rsidRPr="008F1359" w:rsidRDefault="008F1359" w:rsidP="008F1359">
      <w:pPr>
        <w:numPr>
          <w:ilvl w:val="1"/>
          <w:numId w:val="7"/>
        </w:num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Riguardo ai poteri dei comuni nell’art. 7, al comma 1, la lett. </w:t>
      </w:r>
      <w:r w:rsidRPr="008F1359">
        <w:rPr>
          <w:rFonts w:ascii="Lato" w:eastAsia="Times New Roman" w:hAnsi="Lato" w:cs="Times New Roman"/>
          <w:i/>
          <w:iCs/>
          <w:color w:val="0C0C0F"/>
          <w:kern w:val="0"/>
          <w:sz w:val="24"/>
          <w:szCs w:val="24"/>
          <w:lang w:eastAsia="it-IT"/>
          <w14:ligatures w14:val="none"/>
        </w:rPr>
        <w:t>i-</w:t>
      </w:r>
      <w:r w:rsidRPr="008F1359">
        <w:rPr>
          <w:rFonts w:ascii="Lato" w:eastAsia="Times New Roman" w:hAnsi="Lato" w:cs="Times New Roman"/>
          <w:color w:val="0C0C0F"/>
          <w:kern w:val="0"/>
          <w:sz w:val="24"/>
          <w:szCs w:val="24"/>
          <w:lang w:eastAsia="it-IT"/>
          <w14:ligatures w14:val="none"/>
        </w:rPr>
        <w:t>bis) viene sostituita dalla riforma, nel senso che l’ordinanza del sindaco può “stabilire su determinate strade precedentemente a senso unico di marcia, ove il limite massimo di velocità sia inferiore o uguale a 30 km/h, la </w:t>
      </w:r>
      <w:r w:rsidRPr="008F1359">
        <w:rPr>
          <w:rFonts w:ascii="Lato" w:eastAsia="Times New Roman" w:hAnsi="Lato" w:cs="Times New Roman"/>
          <w:b/>
          <w:bCs/>
          <w:color w:val="0C0C0F"/>
          <w:kern w:val="0"/>
          <w:sz w:val="24"/>
          <w:szCs w:val="24"/>
          <w:lang w:eastAsia="it-IT"/>
          <w14:ligatures w14:val="none"/>
        </w:rPr>
        <w:t>circolazione dei velocipedi in senso opposto</w:t>
      </w:r>
      <w:r w:rsidRPr="008F1359">
        <w:rPr>
          <w:rFonts w:ascii="Lato" w:eastAsia="Times New Roman" w:hAnsi="Lato" w:cs="Times New Roman"/>
          <w:color w:val="0C0C0F"/>
          <w:kern w:val="0"/>
          <w:sz w:val="24"/>
          <w:szCs w:val="24"/>
          <w:lang w:eastAsia="it-IT"/>
          <w14:ligatures w14:val="none"/>
        </w:rPr>
        <w:t>, attraverso la realizzazione di corsie ciclabili per doppio senso ciclabile, nei soli casi in cui non sia possibile l’inserimento di piste ciclabili”. Inoltre, risulta possibile “istituire la </w:t>
      </w:r>
      <w:r w:rsidRPr="008F1359">
        <w:rPr>
          <w:rFonts w:ascii="Lato" w:eastAsia="Times New Roman" w:hAnsi="Lato" w:cs="Times New Roman"/>
          <w:b/>
          <w:bCs/>
          <w:color w:val="0C0C0F"/>
          <w:kern w:val="0"/>
          <w:sz w:val="24"/>
          <w:szCs w:val="24"/>
          <w:lang w:eastAsia="it-IT"/>
          <w14:ligatures w14:val="none"/>
        </w:rPr>
        <w:t>zona di attestamento ciclabile</w:t>
      </w:r>
      <w:r w:rsidRPr="008F1359">
        <w:rPr>
          <w:rFonts w:ascii="Lato" w:eastAsia="Times New Roman" w:hAnsi="Lato" w:cs="Times New Roman"/>
          <w:color w:val="0C0C0F"/>
          <w:kern w:val="0"/>
          <w:sz w:val="24"/>
          <w:szCs w:val="24"/>
          <w:lang w:eastAsia="it-IT"/>
          <w14:ligatures w14:val="none"/>
        </w:rPr>
        <w:t>, in determinate intersezioni semaforizzate su strade con una corsia per senso di marcia e con velocità consentita inferiore o uguale a 50 km/h e nelle quali è presente una pista ciclabile laterale, di norma a destra, o una corsia ciclabile”. Infine, i comuni provvedono a </w:t>
      </w:r>
      <w:r w:rsidRPr="008F1359">
        <w:rPr>
          <w:rFonts w:ascii="Lato" w:eastAsia="Times New Roman" w:hAnsi="Lato" w:cs="Times New Roman"/>
          <w:b/>
          <w:bCs/>
          <w:color w:val="0C0C0F"/>
          <w:kern w:val="0"/>
          <w:sz w:val="24"/>
          <w:szCs w:val="24"/>
          <w:lang w:eastAsia="it-IT"/>
          <w14:ligatures w14:val="none"/>
        </w:rPr>
        <w:t>delimitare le zone ciclabili</w:t>
      </w:r>
      <w:r w:rsidRPr="008F1359">
        <w:rPr>
          <w:rFonts w:ascii="Lato" w:eastAsia="Times New Roman" w:hAnsi="Lato" w:cs="Times New Roman"/>
          <w:color w:val="0C0C0F"/>
          <w:kern w:val="0"/>
          <w:sz w:val="24"/>
          <w:szCs w:val="24"/>
          <w:lang w:eastAsia="it-IT"/>
          <w14:ligatures w14:val="none"/>
        </w:rPr>
        <w:t>, in cui può essere limitata o esclusa la circolazione di alcune categorie di veicoli, in cui sono realizzate misure di moderazione del traffico e non è consentito superare il limite di velocità di 30 km/h.</w:t>
      </w:r>
    </w:p>
    <w:p w14:paraId="207DEF22" w14:textId="77777777" w:rsidR="008F1359" w:rsidRPr="008F1359" w:rsidRDefault="008F1359" w:rsidP="008F1359">
      <w:pPr>
        <w:shd w:val="clear" w:color="auto" w:fill="FFFFFF"/>
        <w:spacing w:before="100" w:beforeAutospacing="1" w:after="100" w:afterAutospacing="1" w:line="240" w:lineRule="auto"/>
        <w:outlineLvl w:val="1"/>
        <w:rPr>
          <w:rFonts w:ascii="Lato" w:eastAsia="Times New Roman" w:hAnsi="Lato" w:cs="Times New Roman"/>
          <w:b/>
          <w:bCs/>
          <w:color w:val="0C0C0F"/>
          <w:kern w:val="0"/>
          <w:sz w:val="36"/>
          <w:szCs w:val="36"/>
          <w:lang w:eastAsia="it-IT"/>
          <w14:ligatures w14:val="none"/>
        </w:rPr>
      </w:pPr>
      <w:r w:rsidRPr="008F1359">
        <w:rPr>
          <w:rFonts w:ascii="Lato" w:eastAsia="Times New Roman" w:hAnsi="Lato" w:cs="Times New Roman"/>
          <w:b/>
          <w:bCs/>
          <w:color w:val="0C0C0F"/>
          <w:kern w:val="0"/>
          <w:sz w:val="36"/>
          <w:szCs w:val="36"/>
          <w:lang w:eastAsia="it-IT"/>
          <w14:ligatures w14:val="none"/>
        </w:rPr>
        <w:t>5. Segnaletica orizzontale</w:t>
      </w:r>
    </w:p>
    <w:p w14:paraId="1A4B9F21"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All’</w:t>
      </w:r>
      <w:r w:rsidRPr="008F1359">
        <w:rPr>
          <w:rFonts w:ascii="Lato" w:eastAsia="Times New Roman" w:hAnsi="Lato" w:cs="Times New Roman"/>
          <w:b/>
          <w:bCs/>
          <w:color w:val="0C0C0F"/>
          <w:kern w:val="0"/>
          <w:sz w:val="24"/>
          <w:szCs w:val="24"/>
          <w:lang w:eastAsia="it-IT"/>
          <w14:ligatures w14:val="none"/>
        </w:rPr>
        <w:t>articolo 40</w:t>
      </w:r>
      <w:r w:rsidRPr="008F1359">
        <w:rPr>
          <w:rFonts w:ascii="Lato" w:eastAsia="Times New Roman" w:hAnsi="Lato" w:cs="Times New Roman"/>
          <w:color w:val="0C0C0F"/>
          <w:kern w:val="0"/>
          <w:sz w:val="24"/>
          <w:szCs w:val="24"/>
          <w:lang w:eastAsia="it-IT"/>
          <w14:ligatures w14:val="none"/>
        </w:rPr>
        <w:t>, dopo il comma 5 è stato inserito il 5</w:t>
      </w:r>
      <w:r w:rsidRPr="008F1359">
        <w:rPr>
          <w:rFonts w:ascii="Lato" w:eastAsia="Times New Roman" w:hAnsi="Lato" w:cs="Times New Roman"/>
          <w:i/>
          <w:iCs/>
          <w:color w:val="0C0C0F"/>
          <w:kern w:val="0"/>
          <w:sz w:val="24"/>
          <w:szCs w:val="24"/>
          <w:lang w:eastAsia="it-IT"/>
          <w14:ligatures w14:val="none"/>
        </w:rPr>
        <w:t>-bis: “</w:t>
      </w:r>
      <w:r w:rsidRPr="008F1359">
        <w:rPr>
          <w:rFonts w:ascii="Lato" w:eastAsia="Times New Roman" w:hAnsi="Lato" w:cs="Times New Roman"/>
          <w:color w:val="0C0C0F"/>
          <w:kern w:val="0"/>
          <w:sz w:val="24"/>
          <w:szCs w:val="24"/>
          <w:lang w:eastAsia="it-IT"/>
          <w14:ligatures w14:val="none"/>
        </w:rPr>
        <w:t>Nella </w:t>
      </w:r>
      <w:r w:rsidRPr="008F1359">
        <w:rPr>
          <w:rFonts w:ascii="Lato" w:eastAsia="Times New Roman" w:hAnsi="Lato" w:cs="Times New Roman"/>
          <w:b/>
          <w:bCs/>
          <w:color w:val="0C0C0F"/>
          <w:kern w:val="0"/>
          <w:sz w:val="24"/>
          <w:szCs w:val="24"/>
          <w:lang w:eastAsia="it-IT"/>
          <w14:ligatures w14:val="none"/>
        </w:rPr>
        <w:t>zona di attestamento ciclabile</w:t>
      </w:r>
      <w:r w:rsidRPr="008F1359">
        <w:rPr>
          <w:rFonts w:ascii="Lato" w:eastAsia="Times New Roman" w:hAnsi="Lato" w:cs="Times New Roman"/>
          <w:color w:val="0C0C0F"/>
          <w:kern w:val="0"/>
          <w:sz w:val="24"/>
          <w:szCs w:val="24"/>
          <w:lang w:eastAsia="it-IT"/>
          <w14:ligatures w14:val="none"/>
        </w:rPr>
        <w:t>, la prima striscia trasversale continua, nel senso di marcia, indica il limite prima del quale i conducenti dei veicoli diversi dai velocipedi hanno l’obbligo di fermarsi mentre la seconda striscia indica il limite per i soli velocipedi, ai fini del rispetto delle prescrizioni semaforiche”. In pratica si offre alle biciclette </w:t>
      </w:r>
      <w:r w:rsidRPr="008F1359">
        <w:rPr>
          <w:rFonts w:ascii="Lato" w:eastAsia="Times New Roman" w:hAnsi="Lato" w:cs="Times New Roman"/>
          <w:b/>
          <w:bCs/>
          <w:color w:val="0C0C0F"/>
          <w:kern w:val="0"/>
          <w:sz w:val="24"/>
          <w:szCs w:val="24"/>
          <w:lang w:eastAsia="it-IT"/>
          <w14:ligatures w14:val="none"/>
        </w:rPr>
        <w:t>una zona nella quale esse (e solo esse) possono fermarsi al semaforo</w:t>
      </w:r>
      <w:r w:rsidRPr="008F1359">
        <w:rPr>
          <w:rFonts w:ascii="Lato" w:eastAsia="Times New Roman" w:hAnsi="Lato" w:cs="Times New Roman"/>
          <w:color w:val="0C0C0F"/>
          <w:kern w:val="0"/>
          <w:sz w:val="24"/>
          <w:szCs w:val="24"/>
          <w:lang w:eastAsia="it-IT"/>
          <w14:ligatures w14:val="none"/>
        </w:rPr>
        <w:t>.</w:t>
      </w:r>
    </w:p>
    <w:p w14:paraId="62247C2B" w14:textId="77777777" w:rsidR="008F1359" w:rsidRPr="008F1359" w:rsidRDefault="008F1359" w:rsidP="008F1359">
      <w:pPr>
        <w:shd w:val="clear" w:color="auto" w:fill="FFFFFF"/>
        <w:spacing w:before="100" w:beforeAutospacing="1" w:after="100" w:afterAutospacing="1" w:line="240" w:lineRule="auto"/>
        <w:outlineLvl w:val="1"/>
        <w:rPr>
          <w:rFonts w:ascii="Lato" w:eastAsia="Times New Roman" w:hAnsi="Lato" w:cs="Times New Roman"/>
          <w:b/>
          <w:bCs/>
          <w:color w:val="0C0C0F"/>
          <w:kern w:val="0"/>
          <w:sz w:val="36"/>
          <w:szCs w:val="36"/>
          <w:lang w:eastAsia="it-IT"/>
          <w14:ligatures w14:val="none"/>
        </w:rPr>
      </w:pPr>
      <w:r w:rsidRPr="008F1359">
        <w:rPr>
          <w:rFonts w:ascii="Lato" w:eastAsia="Times New Roman" w:hAnsi="Lato" w:cs="Times New Roman"/>
          <w:b/>
          <w:bCs/>
          <w:color w:val="0C0C0F"/>
          <w:kern w:val="0"/>
          <w:sz w:val="36"/>
          <w:szCs w:val="36"/>
          <w:lang w:eastAsia="it-IT"/>
          <w14:ligatures w14:val="none"/>
        </w:rPr>
        <w:t>6. Dispositivi di segnalazione delle biciclette</w:t>
      </w:r>
    </w:p>
    <w:p w14:paraId="2CBC6CE4"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All’</w:t>
      </w:r>
      <w:r w:rsidRPr="008F1359">
        <w:rPr>
          <w:rFonts w:ascii="Lato" w:eastAsia="Times New Roman" w:hAnsi="Lato" w:cs="Times New Roman"/>
          <w:b/>
          <w:bCs/>
          <w:color w:val="0C0C0F"/>
          <w:kern w:val="0"/>
          <w:sz w:val="24"/>
          <w:szCs w:val="24"/>
          <w:lang w:eastAsia="it-IT"/>
          <w14:ligatures w14:val="none"/>
        </w:rPr>
        <w:t>art. 68, il comma 2</w:t>
      </w:r>
      <w:r w:rsidRPr="008F1359">
        <w:rPr>
          <w:rFonts w:ascii="Lato" w:eastAsia="Times New Roman" w:hAnsi="Lato" w:cs="Times New Roman"/>
          <w:color w:val="0C0C0F"/>
          <w:kern w:val="0"/>
          <w:sz w:val="24"/>
          <w:szCs w:val="24"/>
          <w:lang w:eastAsia="it-IT"/>
          <w14:ligatures w14:val="none"/>
        </w:rPr>
        <w:t> viene sostituito da un testo che, per le ipotesi di uso obbligatorio di luci e catadiottri, rinvia direttamente all’</w:t>
      </w:r>
      <w:r w:rsidRPr="008F1359">
        <w:rPr>
          <w:rFonts w:ascii="Lato" w:eastAsia="Times New Roman" w:hAnsi="Lato" w:cs="Times New Roman"/>
          <w:b/>
          <w:bCs/>
          <w:color w:val="0C0C0F"/>
          <w:kern w:val="0"/>
          <w:sz w:val="24"/>
          <w:szCs w:val="24"/>
          <w:lang w:eastAsia="it-IT"/>
          <w14:ligatures w14:val="none"/>
        </w:rPr>
        <w:t>art. 152, comma 1</w:t>
      </w:r>
      <w:r w:rsidRPr="008F1359">
        <w:rPr>
          <w:rFonts w:ascii="Lato" w:eastAsia="Times New Roman" w:hAnsi="Lato" w:cs="Times New Roman"/>
          <w:color w:val="0C0C0F"/>
          <w:kern w:val="0"/>
          <w:sz w:val="24"/>
          <w:szCs w:val="24"/>
          <w:lang w:eastAsia="it-IT"/>
          <w14:ligatures w14:val="none"/>
        </w:rPr>
        <w:t>, anziché elencarli autonomamente.</w:t>
      </w:r>
    </w:p>
    <w:p w14:paraId="53AA368D"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Tale norma stabilisce che i veicoli a motore durante la marcia fuori dei centri abitati ed i ciclomotori, motocicli, tricicli e quadricicli, anche durante la marcia nei centri abitati, hanno l’obbligo di usare le luci di posizione, i proiettori anabbaglianti e, se prescritte, le luci della targa e le luci d’ingombro.</w:t>
      </w:r>
    </w:p>
    <w:p w14:paraId="43FBA341" w14:textId="77777777" w:rsidR="008F1359" w:rsidRPr="008F1359" w:rsidRDefault="008F1359" w:rsidP="008F1359">
      <w:pPr>
        <w:shd w:val="clear" w:color="auto" w:fill="FFFFFF"/>
        <w:spacing w:before="100" w:beforeAutospacing="1" w:after="100" w:afterAutospacing="1" w:line="240" w:lineRule="auto"/>
        <w:outlineLvl w:val="1"/>
        <w:rPr>
          <w:rFonts w:ascii="Lato" w:eastAsia="Times New Roman" w:hAnsi="Lato" w:cs="Times New Roman"/>
          <w:b/>
          <w:bCs/>
          <w:color w:val="0C0C0F"/>
          <w:kern w:val="0"/>
          <w:sz w:val="36"/>
          <w:szCs w:val="36"/>
          <w:lang w:eastAsia="it-IT"/>
          <w14:ligatures w14:val="none"/>
        </w:rPr>
      </w:pPr>
      <w:r w:rsidRPr="008F1359">
        <w:rPr>
          <w:rFonts w:ascii="Lato" w:eastAsia="Times New Roman" w:hAnsi="Lato" w:cs="Times New Roman"/>
          <w:b/>
          <w:bCs/>
          <w:color w:val="0C0C0F"/>
          <w:kern w:val="0"/>
          <w:sz w:val="36"/>
          <w:szCs w:val="36"/>
          <w:lang w:eastAsia="it-IT"/>
          <w14:ligatures w14:val="none"/>
        </w:rPr>
        <w:t>7. Norme di comportamento</w:t>
      </w:r>
    </w:p>
    <w:p w14:paraId="27B2BAE6"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All’</w:t>
      </w:r>
      <w:r w:rsidRPr="008F1359">
        <w:rPr>
          <w:rFonts w:ascii="Lato" w:eastAsia="Times New Roman" w:hAnsi="Lato" w:cs="Times New Roman"/>
          <w:b/>
          <w:bCs/>
          <w:color w:val="0C0C0F"/>
          <w:kern w:val="0"/>
          <w:sz w:val="24"/>
          <w:szCs w:val="24"/>
          <w:lang w:eastAsia="it-IT"/>
          <w14:ligatures w14:val="none"/>
        </w:rPr>
        <w:t>articolo 143, comma 2</w:t>
      </w:r>
      <w:r w:rsidRPr="008F1359">
        <w:rPr>
          <w:rFonts w:ascii="Lato" w:eastAsia="Times New Roman" w:hAnsi="Lato" w:cs="Times New Roman"/>
          <w:color w:val="0C0C0F"/>
          <w:kern w:val="0"/>
          <w:sz w:val="24"/>
          <w:szCs w:val="24"/>
          <w:lang w:eastAsia="it-IT"/>
          <w14:ligatures w14:val="none"/>
        </w:rPr>
        <w:t>, era già stabilito che “veicoli sprovvisti di motore e gli animali devono essere tenuti il più vicino possibile al </w:t>
      </w:r>
      <w:r w:rsidRPr="008F1359">
        <w:rPr>
          <w:rFonts w:ascii="Lato" w:eastAsia="Times New Roman" w:hAnsi="Lato" w:cs="Times New Roman"/>
          <w:b/>
          <w:bCs/>
          <w:color w:val="0C0C0F"/>
          <w:kern w:val="0"/>
          <w:sz w:val="24"/>
          <w:szCs w:val="24"/>
          <w:lang w:eastAsia="it-IT"/>
          <w14:ligatures w14:val="none"/>
        </w:rPr>
        <w:t>margine destro</w:t>
      </w:r>
      <w:r w:rsidRPr="008F1359">
        <w:rPr>
          <w:rFonts w:ascii="Lato" w:eastAsia="Times New Roman" w:hAnsi="Lato" w:cs="Times New Roman"/>
          <w:color w:val="0C0C0F"/>
          <w:kern w:val="0"/>
          <w:sz w:val="24"/>
          <w:szCs w:val="24"/>
          <w:lang w:eastAsia="it-IT"/>
          <w14:ligatures w14:val="none"/>
        </w:rPr>
        <w:t> della carreggiata”. La riforma aggiunge di un comma 2-</w:t>
      </w:r>
      <w:r w:rsidRPr="008F1359">
        <w:rPr>
          <w:rFonts w:ascii="Lato" w:eastAsia="Times New Roman" w:hAnsi="Lato" w:cs="Times New Roman"/>
          <w:i/>
          <w:iCs/>
          <w:color w:val="0C0C0F"/>
          <w:kern w:val="0"/>
          <w:sz w:val="24"/>
          <w:szCs w:val="24"/>
          <w:lang w:eastAsia="it-IT"/>
          <w14:ligatures w14:val="none"/>
        </w:rPr>
        <w:t>bis</w:t>
      </w:r>
      <w:r w:rsidRPr="008F1359">
        <w:rPr>
          <w:rFonts w:ascii="Lato" w:eastAsia="Times New Roman" w:hAnsi="Lato" w:cs="Times New Roman"/>
          <w:color w:val="0C0C0F"/>
          <w:kern w:val="0"/>
          <w:sz w:val="24"/>
          <w:szCs w:val="24"/>
          <w:lang w:eastAsia="it-IT"/>
          <w14:ligatures w14:val="none"/>
        </w:rPr>
        <w:t xml:space="preserve">, ai sensi del quale “la disposizione del comma 2 non si applica ai </w:t>
      </w:r>
      <w:r w:rsidRPr="008F1359">
        <w:rPr>
          <w:rFonts w:ascii="Lato" w:eastAsia="Times New Roman" w:hAnsi="Lato" w:cs="Times New Roman"/>
          <w:color w:val="0C0C0F"/>
          <w:kern w:val="0"/>
          <w:sz w:val="24"/>
          <w:szCs w:val="24"/>
          <w:lang w:eastAsia="it-IT"/>
          <w14:ligatures w14:val="none"/>
        </w:rPr>
        <w:lastRenderedPageBreak/>
        <w:t>velocipedi nelle zone di attestamento ciclabili, nelle strade urbane ciclabili e nelle zone ciclabili, in cui i velocipedi possono occupare qualunque posizione sulla carreggiata.</w:t>
      </w:r>
    </w:p>
    <w:p w14:paraId="0EB8CB92"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b/>
          <w:bCs/>
          <w:color w:val="0C0C0F"/>
          <w:kern w:val="0"/>
          <w:sz w:val="24"/>
          <w:szCs w:val="24"/>
          <w:lang w:eastAsia="it-IT"/>
          <w14:ligatures w14:val="none"/>
        </w:rPr>
        <w:t>Nelle corsie ciclabili i velocipedi devono occupare la parte più esterna della corsia</w:t>
      </w:r>
      <w:r w:rsidRPr="008F1359">
        <w:rPr>
          <w:rFonts w:ascii="Lato" w:eastAsia="Times New Roman" w:hAnsi="Lato" w:cs="Times New Roman"/>
          <w:color w:val="0C0C0F"/>
          <w:kern w:val="0"/>
          <w:sz w:val="24"/>
          <w:szCs w:val="24"/>
          <w:lang w:eastAsia="it-IT"/>
          <w14:ligatures w14:val="none"/>
        </w:rPr>
        <w:t>”. In pratica, le bicilette non sono più soggette a un trattamento giuridico deteriore rispetto agli altri veicoli.</w:t>
      </w:r>
    </w:p>
    <w:p w14:paraId="6266547D"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Sempre in ambito di norme di comportamento, all’articolo 145 viene sostituito il dettato dei commi 4-</w:t>
      </w:r>
      <w:r w:rsidRPr="008F1359">
        <w:rPr>
          <w:rFonts w:ascii="Lato" w:eastAsia="Times New Roman" w:hAnsi="Lato" w:cs="Times New Roman"/>
          <w:i/>
          <w:iCs/>
          <w:color w:val="0C0C0F"/>
          <w:kern w:val="0"/>
          <w:sz w:val="24"/>
          <w:szCs w:val="24"/>
          <w:lang w:eastAsia="it-IT"/>
          <w14:ligatures w14:val="none"/>
        </w:rPr>
        <w:t>bis </w:t>
      </w:r>
      <w:r w:rsidRPr="008F1359">
        <w:rPr>
          <w:rFonts w:ascii="Lato" w:eastAsia="Times New Roman" w:hAnsi="Lato" w:cs="Times New Roman"/>
          <w:color w:val="0C0C0F"/>
          <w:kern w:val="0"/>
          <w:sz w:val="24"/>
          <w:szCs w:val="24"/>
          <w:lang w:eastAsia="it-IT"/>
          <w14:ligatures w14:val="none"/>
        </w:rPr>
        <w:t>e 4-</w:t>
      </w:r>
      <w:r w:rsidRPr="008F1359">
        <w:rPr>
          <w:rFonts w:ascii="Lato" w:eastAsia="Times New Roman" w:hAnsi="Lato" w:cs="Times New Roman"/>
          <w:i/>
          <w:iCs/>
          <w:color w:val="0C0C0F"/>
          <w:kern w:val="0"/>
          <w:sz w:val="24"/>
          <w:szCs w:val="24"/>
          <w:lang w:eastAsia="it-IT"/>
          <w14:ligatures w14:val="none"/>
        </w:rPr>
        <w:t>ter</w:t>
      </w:r>
      <w:r w:rsidRPr="008F1359">
        <w:rPr>
          <w:rFonts w:ascii="Lato" w:eastAsia="Times New Roman" w:hAnsi="Lato" w:cs="Times New Roman"/>
          <w:color w:val="0C0C0F"/>
          <w:kern w:val="0"/>
          <w:sz w:val="24"/>
          <w:szCs w:val="24"/>
          <w:lang w:eastAsia="it-IT"/>
          <w14:ligatures w14:val="none"/>
        </w:rPr>
        <w:t>, col seguente:</w:t>
      </w:r>
    </w:p>
    <w:p w14:paraId="0AC41EF3" w14:textId="77777777" w:rsidR="008F1359" w:rsidRPr="008F1359" w:rsidRDefault="008F1359" w:rsidP="008F1359">
      <w:pPr>
        <w:numPr>
          <w:ilvl w:val="1"/>
          <w:numId w:val="8"/>
        </w:numPr>
        <w:shd w:val="clear" w:color="auto" w:fill="FFFFFF"/>
        <w:spacing w:after="159"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nelle aree pedonali, nelle strade urbane ciclabili e nelle zone ciclabili i conducenti dei veicoli a motore ammessi alla circolazione, nel rispetto delle regole generali della precedenza, </w:t>
      </w:r>
      <w:r w:rsidRPr="008F1359">
        <w:rPr>
          <w:rFonts w:ascii="Lato" w:eastAsia="Times New Roman" w:hAnsi="Lato" w:cs="Times New Roman"/>
          <w:b/>
          <w:bCs/>
          <w:color w:val="0C0C0F"/>
          <w:kern w:val="0"/>
          <w:sz w:val="24"/>
          <w:szCs w:val="24"/>
          <w:lang w:eastAsia="it-IT"/>
          <w14:ligatures w14:val="none"/>
        </w:rPr>
        <w:t>devono prestare particolare attenzione ai pedoni e ai ciclisti</w:t>
      </w:r>
      <w:r w:rsidRPr="008F1359">
        <w:rPr>
          <w:rFonts w:ascii="Lato" w:eastAsia="Times New Roman" w:hAnsi="Lato" w:cs="Times New Roman"/>
          <w:color w:val="0C0C0F"/>
          <w:kern w:val="0"/>
          <w:sz w:val="24"/>
          <w:szCs w:val="24"/>
          <w:lang w:eastAsia="it-IT"/>
          <w14:ligatures w14:val="none"/>
        </w:rPr>
        <w:t> (4-bis);</w:t>
      </w:r>
    </w:p>
    <w:p w14:paraId="20E3F418" w14:textId="77777777" w:rsidR="008F1359" w:rsidRPr="008F1359" w:rsidRDefault="008F1359" w:rsidP="008F1359">
      <w:pPr>
        <w:numPr>
          <w:ilvl w:val="1"/>
          <w:numId w:val="8"/>
        </w:numPr>
        <w:shd w:val="clear" w:color="auto" w:fill="FFFFFF"/>
        <w:spacing w:after="159"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i conducenti dei veicoli a motore devono </w:t>
      </w:r>
      <w:r w:rsidRPr="008F1359">
        <w:rPr>
          <w:rFonts w:ascii="Lato" w:eastAsia="Times New Roman" w:hAnsi="Lato" w:cs="Times New Roman"/>
          <w:b/>
          <w:bCs/>
          <w:color w:val="0C0C0F"/>
          <w:kern w:val="0"/>
          <w:sz w:val="24"/>
          <w:szCs w:val="24"/>
          <w:lang w:eastAsia="it-IT"/>
          <w14:ligatures w14:val="none"/>
        </w:rPr>
        <w:t>dare la precedenza ai velocipedi circolanti sulle corsie ciclabili delimitate da striscia discontinua</w:t>
      </w:r>
      <w:r w:rsidRPr="008F1359">
        <w:rPr>
          <w:rFonts w:ascii="Lato" w:eastAsia="Times New Roman" w:hAnsi="Lato" w:cs="Times New Roman"/>
          <w:color w:val="0C0C0F"/>
          <w:kern w:val="0"/>
          <w:sz w:val="24"/>
          <w:szCs w:val="24"/>
          <w:lang w:eastAsia="it-IT"/>
          <w14:ligatures w14:val="none"/>
        </w:rPr>
        <w:t>.</w:t>
      </w:r>
    </w:p>
    <w:p w14:paraId="64180FD0"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La modifica saliente è al comma 4-</w:t>
      </w:r>
      <w:r w:rsidRPr="008F1359">
        <w:rPr>
          <w:rFonts w:ascii="Lato" w:eastAsia="Times New Roman" w:hAnsi="Lato" w:cs="Times New Roman"/>
          <w:i/>
          <w:iCs/>
          <w:color w:val="0C0C0F"/>
          <w:kern w:val="0"/>
          <w:sz w:val="24"/>
          <w:szCs w:val="24"/>
          <w:lang w:eastAsia="it-IT"/>
          <w14:ligatures w14:val="none"/>
        </w:rPr>
        <w:t>bis, </w:t>
      </w:r>
      <w:r w:rsidRPr="008F1359">
        <w:rPr>
          <w:rFonts w:ascii="Lato" w:eastAsia="Times New Roman" w:hAnsi="Lato" w:cs="Times New Roman"/>
          <w:color w:val="0C0C0F"/>
          <w:kern w:val="0"/>
          <w:sz w:val="24"/>
          <w:szCs w:val="24"/>
          <w:lang w:eastAsia="it-IT"/>
          <w14:ligatures w14:val="none"/>
        </w:rPr>
        <w:t>in cui il concetto della </w:t>
      </w:r>
      <w:r w:rsidRPr="008F1359">
        <w:rPr>
          <w:rFonts w:ascii="Lato" w:eastAsia="Times New Roman" w:hAnsi="Lato" w:cs="Times New Roman"/>
          <w:b/>
          <w:bCs/>
          <w:color w:val="0C0C0F"/>
          <w:kern w:val="0"/>
          <w:sz w:val="24"/>
          <w:szCs w:val="24"/>
          <w:lang w:eastAsia="it-IT"/>
          <w14:ligatures w14:val="none"/>
        </w:rPr>
        <w:t>particolare attenzione</w:t>
      </w:r>
      <w:r w:rsidRPr="008F1359">
        <w:rPr>
          <w:rFonts w:ascii="Lato" w:eastAsia="Times New Roman" w:hAnsi="Lato" w:cs="Times New Roman"/>
          <w:color w:val="0C0C0F"/>
          <w:kern w:val="0"/>
          <w:sz w:val="24"/>
          <w:szCs w:val="24"/>
          <w:lang w:eastAsia="it-IT"/>
          <w14:ligatures w14:val="none"/>
        </w:rPr>
        <w:t> prende il luogo dell’obbligo della precedenza.</w:t>
      </w:r>
    </w:p>
    <w:p w14:paraId="0A238944" w14:textId="77777777" w:rsidR="008F1359" w:rsidRPr="008F1359" w:rsidRDefault="008F1359" w:rsidP="008F1359">
      <w:pPr>
        <w:shd w:val="clear" w:color="auto" w:fill="FFFFFF"/>
        <w:spacing w:before="100" w:beforeAutospacing="1" w:after="100" w:afterAutospacing="1" w:line="240" w:lineRule="auto"/>
        <w:outlineLvl w:val="1"/>
        <w:rPr>
          <w:rFonts w:ascii="Lato" w:eastAsia="Times New Roman" w:hAnsi="Lato" w:cs="Times New Roman"/>
          <w:b/>
          <w:bCs/>
          <w:color w:val="0C0C0F"/>
          <w:kern w:val="0"/>
          <w:sz w:val="36"/>
          <w:szCs w:val="36"/>
          <w:lang w:eastAsia="it-IT"/>
          <w14:ligatures w14:val="none"/>
        </w:rPr>
      </w:pPr>
      <w:r w:rsidRPr="008F1359">
        <w:rPr>
          <w:rFonts w:ascii="Lato" w:eastAsia="Times New Roman" w:hAnsi="Lato" w:cs="Times New Roman"/>
          <w:b/>
          <w:bCs/>
          <w:color w:val="0C0C0F"/>
          <w:kern w:val="0"/>
          <w:sz w:val="36"/>
          <w:szCs w:val="36"/>
          <w:lang w:eastAsia="it-IT"/>
          <w14:ligatures w14:val="none"/>
        </w:rPr>
        <w:t>8. Guida notturna o in condizioni di pericolo</w:t>
      </w:r>
    </w:p>
    <w:p w14:paraId="10559BFF"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L’</w:t>
      </w:r>
      <w:r w:rsidRPr="008F1359">
        <w:rPr>
          <w:rFonts w:ascii="Lato" w:eastAsia="Times New Roman" w:hAnsi="Lato" w:cs="Times New Roman"/>
          <w:b/>
          <w:bCs/>
          <w:color w:val="0C0C0F"/>
          <w:kern w:val="0"/>
          <w:sz w:val="24"/>
          <w:szCs w:val="24"/>
          <w:lang w:eastAsia="it-IT"/>
          <w14:ligatures w14:val="none"/>
        </w:rPr>
        <w:t>art. 153, comma 1</w:t>
      </w:r>
      <w:r w:rsidRPr="008F1359">
        <w:rPr>
          <w:rFonts w:ascii="Lato" w:eastAsia="Times New Roman" w:hAnsi="Lato" w:cs="Times New Roman"/>
          <w:color w:val="0C0C0F"/>
          <w:kern w:val="0"/>
          <w:sz w:val="24"/>
          <w:szCs w:val="24"/>
          <w:lang w:eastAsia="it-IT"/>
          <w14:ligatures w14:val="none"/>
        </w:rPr>
        <w:t>, primo periodo, sopprime il riferimento ai soli veicoli a motore, in tal modo </w:t>
      </w:r>
      <w:r w:rsidRPr="008F1359">
        <w:rPr>
          <w:rFonts w:ascii="Lato" w:eastAsia="Times New Roman" w:hAnsi="Lato" w:cs="Times New Roman"/>
          <w:b/>
          <w:bCs/>
          <w:color w:val="0C0C0F"/>
          <w:kern w:val="0"/>
          <w:sz w:val="24"/>
          <w:szCs w:val="24"/>
          <w:lang w:eastAsia="it-IT"/>
          <w14:ligatures w14:val="none"/>
        </w:rPr>
        <w:t>estendendo gli obblighi di dotazione e accensione delle luci alle bicilette</w:t>
      </w:r>
      <w:r w:rsidRPr="008F1359">
        <w:rPr>
          <w:rFonts w:ascii="Lato" w:eastAsia="Times New Roman" w:hAnsi="Lato" w:cs="Times New Roman"/>
          <w:color w:val="0C0C0F"/>
          <w:kern w:val="0"/>
          <w:sz w:val="24"/>
          <w:szCs w:val="24"/>
          <w:lang w:eastAsia="it-IT"/>
          <w14:ligatures w14:val="none"/>
        </w:rPr>
        <w:t>.</w:t>
      </w:r>
    </w:p>
    <w:p w14:paraId="3F4E3225"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Per l’effetto, da mezz’ora dopo il tramonto del sole a mezz’ora prima del suo sorgere ed anche di giorno nelle gallerie, in caso di nebbia, di caduta di neve, di forte pioggia e in ogni altro caso di scarsa visibilità, durante la marcia dei veicoli e dei veicoli trainati, si devono tenere accese le luci di posizione, le luci della targa e, se prescritte, le luci di ingombro.</w:t>
      </w:r>
    </w:p>
    <w:p w14:paraId="35E68B3C" w14:textId="77777777" w:rsidR="008F1359" w:rsidRPr="008F1359" w:rsidRDefault="008F1359" w:rsidP="008F1359">
      <w:pPr>
        <w:shd w:val="clear" w:color="auto" w:fill="FFFFFF"/>
        <w:spacing w:before="100" w:beforeAutospacing="1" w:after="100" w:afterAutospacing="1" w:line="240" w:lineRule="auto"/>
        <w:outlineLvl w:val="1"/>
        <w:rPr>
          <w:rFonts w:ascii="Lato" w:eastAsia="Times New Roman" w:hAnsi="Lato" w:cs="Times New Roman"/>
          <w:b/>
          <w:bCs/>
          <w:color w:val="0C0C0F"/>
          <w:kern w:val="0"/>
          <w:sz w:val="36"/>
          <w:szCs w:val="36"/>
          <w:lang w:eastAsia="it-IT"/>
          <w14:ligatures w14:val="none"/>
        </w:rPr>
      </w:pPr>
      <w:r w:rsidRPr="008F1359">
        <w:rPr>
          <w:rFonts w:ascii="Lato" w:eastAsia="Times New Roman" w:hAnsi="Lato" w:cs="Times New Roman"/>
          <w:b/>
          <w:bCs/>
          <w:color w:val="0C0C0F"/>
          <w:kern w:val="0"/>
          <w:sz w:val="36"/>
          <w:szCs w:val="36"/>
          <w:lang w:eastAsia="it-IT"/>
          <w14:ligatures w14:val="none"/>
        </w:rPr>
        <w:t>9. Sorpasso</w:t>
      </w:r>
    </w:p>
    <w:p w14:paraId="687855CF"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Il sorpasso dei velocipedi da parte dei veicoli a motore deve essere effettuato </w:t>
      </w:r>
      <w:r w:rsidRPr="008F1359">
        <w:rPr>
          <w:rFonts w:ascii="Lato" w:eastAsia="Times New Roman" w:hAnsi="Lato" w:cs="Times New Roman"/>
          <w:b/>
          <w:bCs/>
          <w:color w:val="0C0C0F"/>
          <w:kern w:val="0"/>
          <w:sz w:val="24"/>
          <w:szCs w:val="24"/>
          <w:lang w:eastAsia="it-IT"/>
          <w14:ligatures w14:val="none"/>
        </w:rPr>
        <w:t>con adeguato distanziamento laterale in funzione della velocità reciproca e dell’ingombro del veicolo a motore</w:t>
      </w:r>
      <w:r w:rsidRPr="008F1359">
        <w:rPr>
          <w:rFonts w:ascii="Lato" w:eastAsia="Times New Roman" w:hAnsi="Lato" w:cs="Times New Roman"/>
          <w:color w:val="0C0C0F"/>
          <w:kern w:val="0"/>
          <w:sz w:val="24"/>
          <w:szCs w:val="24"/>
          <w:lang w:eastAsia="it-IT"/>
          <w14:ligatures w14:val="none"/>
        </w:rPr>
        <w:t>, per tener conto della ridotta stabilità dei velocipedi, mantenendo, ove le condizioni della strada lo consentano, la </w:t>
      </w:r>
      <w:r w:rsidRPr="008F1359">
        <w:rPr>
          <w:rFonts w:ascii="Lato" w:eastAsia="Times New Roman" w:hAnsi="Lato" w:cs="Times New Roman"/>
          <w:b/>
          <w:bCs/>
          <w:color w:val="0C0C0F"/>
          <w:kern w:val="0"/>
          <w:sz w:val="24"/>
          <w:szCs w:val="24"/>
          <w:lang w:eastAsia="it-IT"/>
          <w14:ligatures w14:val="none"/>
        </w:rPr>
        <w:t>distanza di sicurezza di almeno 1,5 metri</w:t>
      </w:r>
      <w:r w:rsidRPr="008F1359">
        <w:rPr>
          <w:rFonts w:ascii="Lato" w:eastAsia="Times New Roman" w:hAnsi="Lato" w:cs="Times New Roman"/>
          <w:color w:val="0C0C0F"/>
          <w:kern w:val="0"/>
          <w:sz w:val="24"/>
          <w:szCs w:val="24"/>
          <w:lang w:eastAsia="it-IT"/>
          <w14:ligatures w14:val="none"/>
        </w:rPr>
        <w:t>.</w:t>
      </w:r>
    </w:p>
    <w:p w14:paraId="6B80DE4F" w14:textId="77777777" w:rsidR="008F1359" w:rsidRPr="008F1359" w:rsidRDefault="008F1359" w:rsidP="008F1359">
      <w:pPr>
        <w:shd w:val="clear" w:color="auto" w:fill="FFFFFF"/>
        <w:spacing w:after="100" w:afterAutospacing="1" w:line="240" w:lineRule="auto"/>
        <w:rPr>
          <w:rFonts w:ascii="Lato" w:eastAsia="Times New Roman" w:hAnsi="Lato" w:cs="Times New Roman"/>
          <w:color w:val="0C0C0F"/>
          <w:kern w:val="0"/>
          <w:sz w:val="24"/>
          <w:szCs w:val="24"/>
          <w:lang w:eastAsia="it-IT"/>
          <w14:ligatures w14:val="none"/>
        </w:rPr>
      </w:pPr>
      <w:r w:rsidRPr="008F1359">
        <w:rPr>
          <w:rFonts w:ascii="Lato" w:eastAsia="Times New Roman" w:hAnsi="Lato" w:cs="Times New Roman"/>
          <w:color w:val="0C0C0F"/>
          <w:kern w:val="0"/>
          <w:sz w:val="24"/>
          <w:szCs w:val="24"/>
          <w:lang w:eastAsia="it-IT"/>
          <w14:ligatures w14:val="none"/>
        </w:rPr>
        <w:t>Chiunque viola le disposizioni del presente comma è soggetto alle sanzioni amministrative di cui all’articolo 148 del Codice, comma 16, primo periodo, ovvero la sanzione amministrativa del </w:t>
      </w:r>
      <w:r w:rsidRPr="008F1359">
        <w:rPr>
          <w:rFonts w:ascii="Lato" w:eastAsia="Times New Roman" w:hAnsi="Lato" w:cs="Times New Roman"/>
          <w:b/>
          <w:bCs/>
          <w:color w:val="0C0C0F"/>
          <w:kern w:val="0"/>
          <w:sz w:val="24"/>
          <w:szCs w:val="24"/>
          <w:lang w:eastAsia="it-IT"/>
          <w14:ligatures w14:val="none"/>
        </w:rPr>
        <w:t>pagamento di una somma da euro 167,00 a euro 665,00</w:t>
      </w:r>
      <w:r w:rsidRPr="008F1359">
        <w:rPr>
          <w:rFonts w:ascii="Lato" w:eastAsia="Times New Roman" w:hAnsi="Lato" w:cs="Times New Roman"/>
          <w:color w:val="0C0C0F"/>
          <w:kern w:val="0"/>
          <w:sz w:val="24"/>
          <w:szCs w:val="24"/>
          <w:lang w:eastAsia="it-IT"/>
          <w14:ligatures w14:val="none"/>
        </w:rPr>
        <w:t>.</w:t>
      </w:r>
    </w:p>
    <w:p w14:paraId="005CB8EB" w14:textId="77777777" w:rsidR="00292776" w:rsidRDefault="00292776"/>
    <w:sectPr w:rsidR="00292776" w:rsidSect="008F1359">
      <w:pgSz w:w="11906" w:h="16838"/>
      <w:pgMar w:top="709"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45A"/>
    <w:multiLevelType w:val="multilevel"/>
    <w:tmpl w:val="849825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032D0"/>
    <w:multiLevelType w:val="multilevel"/>
    <w:tmpl w:val="40FA2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62685"/>
    <w:multiLevelType w:val="multilevel"/>
    <w:tmpl w:val="EC92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62762"/>
    <w:multiLevelType w:val="multilevel"/>
    <w:tmpl w:val="25B4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E2E68"/>
    <w:multiLevelType w:val="multilevel"/>
    <w:tmpl w:val="2FB4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90F40"/>
    <w:multiLevelType w:val="multilevel"/>
    <w:tmpl w:val="6DD869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D51C03"/>
    <w:multiLevelType w:val="multilevel"/>
    <w:tmpl w:val="AC32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7252A"/>
    <w:multiLevelType w:val="multilevel"/>
    <w:tmpl w:val="E730D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2316367">
    <w:abstractNumId w:val="6"/>
  </w:num>
  <w:num w:numId="2" w16cid:durableId="839731889">
    <w:abstractNumId w:val="4"/>
  </w:num>
  <w:num w:numId="3" w16cid:durableId="201788875">
    <w:abstractNumId w:val="2"/>
  </w:num>
  <w:num w:numId="4" w16cid:durableId="403992629">
    <w:abstractNumId w:val="3"/>
  </w:num>
  <w:num w:numId="5" w16cid:durableId="1601597717">
    <w:abstractNumId w:val="0"/>
  </w:num>
  <w:num w:numId="6" w16cid:durableId="259220392">
    <w:abstractNumId w:val="1"/>
  </w:num>
  <w:num w:numId="7" w16cid:durableId="1427116808">
    <w:abstractNumId w:val="7"/>
  </w:num>
  <w:num w:numId="8" w16cid:durableId="764770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59"/>
    <w:rsid w:val="00292776"/>
    <w:rsid w:val="004B543E"/>
    <w:rsid w:val="005B1F32"/>
    <w:rsid w:val="008F1359"/>
    <w:rsid w:val="00D37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F7BA"/>
  <w15:chartTrackingRefBased/>
  <w15:docId w15:val="{038D4884-F9A9-4C03-862D-5EFE2441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449160">
      <w:bodyDiv w:val="1"/>
      <w:marLeft w:val="0"/>
      <w:marRight w:val="0"/>
      <w:marTop w:val="0"/>
      <w:marBottom w:val="0"/>
      <w:divBdr>
        <w:top w:val="none" w:sz="0" w:space="0" w:color="auto"/>
        <w:left w:val="none" w:sz="0" w:space="0" w:color="auto"/>
        <w:bottom w:val="none" w:sz="0" w:space="0" w:color="auto"/>
        <w:right w:val="none" w:sz="0" w:space="0" w:color="auto"/>
      </w:divBdr>
      <w:divsChild>
        <w:div w:id="916675082">
          <w:marLeft w:val="0"/>
          <w:marRight w:val="0"/>
          <w:marTop w:val="0"/>
          <w:marBottom w:val="0"/>
          <w:divBdr>
            <w:top w:val="none" w:sz="0" w:space="0" w:color="auto"/>
            <w:left w:val="none" w:sz="0" w:space="0" w:color="auto"/>
            <w:bottom w:val="none" w:sz="0" w:space="0" w:color="auto"/>
            <w:right w:val="none" w:sz="0" w:space="0" w:color="auto"/>
          </w:divBdr>
        </w:div>
        <w:div w:id="793713407">
          <w:marLeft w:val="0"/>
          <w:marRight w:val="0"/>
          <w:marTop w:val="0"/>
          <w:marBottom w:val="0"/>
          <w:divBdr>
            <w:top w:val="single" w:sz="6" w:space="0" w:color="D8D8D8"/>
            <w:left w:val="none" w:sz="0" w:space="0" w:color="auto"/>
            <w:bottom w:val="single" w:sz="6" w:space="0" w:color="D8D8D8"/>
            <w:right w:val="none" w:sz="0" w:space="0" w:color="auto"/>
          </w:divBdr>
          <w:divsChild>
            <w:div w:id="1713798638">
              <w:marLeft w:val="0"/>
              <w:marRight w:val="0"/>
              <w:marTop w:val="0"/>
              <w:marBottom w:val="0"/>
              <w:divBdr>
                <w:top w:val="none" w:sz="0" w:space="0" w:color="auto"/>
                <w:left w:val="none" w:sz="0" w:space="0" w:color="auto"/>
                <w:bottom w:val="none" w:sz="0" w:space="0" w:color="auto"/>
                <w:right w:val="none" w:sz="0" w:space="0" w:color="auto"/>
              </w:divBdr>
              <w:divsChild>
                <w:div w:id="2129658629">
                  <w:marLeft w:val="0"/>
                  <w:marRight w:val="0"/>
                  <w:marTop w:val="0"/>
                  <w:marBottom w:val="0"/>
                  <w:divBdr>
                    <w:top w:val="none" w:sz="0" w:space="0" w:color="auto"/>
                    <w:left w:val="none" w:sz="0" w:space="0" w:color="auto"/>
                    <w:bottom w:val="none" w:sz="0" w:space="0" w:color="auto"/>
                    <w:right w:val="none" w:sz="0" w:space="0" w:color="auto"/>
                  </w:divBdr>
                  <w:divsChild>
                    <w:div w:id="1750345100">
                      <w:marLeft w:val="0"/>
                      <w:marRight w:val="0"/>
                      <w:marTop w:val="0"/>
                      <w:marBottom w:val="0"/>
                      <w:divBdr>
                        <w:top w:val="none" w:sz="0" w:space="0" w:color="auto"/>
                        <w:left w:val="none" w:sz="0" w:space="0" w:color="auto"/>
                        <w:bottom w:val="none" w:sz="0" w:space="0" w:color="auto"/>
                        <w:right w:val="none" w:sz="0" w:space="0" w:color="auto"/>
                      </w:divBdr>
                      <w:divsChild>
                        <w:div w:id="1797601877">
                          <w:marLeft w:val="0"/>
                          <w:marRight w:val="0"/>
                          <w:marTop w:val="0"/>
                          <w:marBottom w:val="0"/>
                          <w:divBdr>
                            <w:top w:val="none" w:sz="0" w:space="0" w:color="auto"/>
                            <w:left w:val="none" w:sz="0" w:space="0" w:color="auto"/>
                            <w:bottom w:val="none" w:sz="0" w:space="0" w:color="auto"/>
                            <w:right w:val="none" w:sz="0" w:space="0" w:color="auto"/>
                          </w:divBdr>
                          <w:divsChild>
                            <w:div w:id="1621916401">
                              <w:marLeft w:val="0"/>
                              <w:marRight w:val="0"/>
                              <w:marTop w:val="0"/>
                              <w:marBottom w:val="0"/>
                              <w:divBdr>
                                <w:top w:val="none" w:sz="0" w:space="0" w:color="auto"/>
                                <w:left w:val="none" w:sz="0" w:space="0" w:color="auto"/>
                                <w:bottom w:val="none" w:sz="0" w:space="0" w:color="auto"/>
                                <w:right w:val="none" w:sz="0" w:space="0" w:color="auto"/>
                              </w:divBdr>
                            </w:div>
                            <w:div w:id="410855131">
                              <w:marLeft w:val="0"/>
                              <w:marRight w:val="0"/>
                              <w:marTop w:val="0"/>
                              <w:marBottom w:val="0"/>
                              <w:divBdr>
                                <w:top w:val="none" w:sz="0" w:space="0" w:color="auto"/>
                                <w:left w:val="none" w:sz="0" w:space="0" w:color="auto"/>
                                <w:bottom w:val="none" w:sz="0" w:space="0" w:color="auto"/>
                                <w:right w:val="none" w:sz="0" w:space="0" w:color="auto"/>
                              </w:divBdr>
                            </w:div>
                            <w:div w:id="7273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333397">
          <w:marLeft w:val="0"/>
          <w:marRight w:val="0"/>
          <w:marTop w:val="0"/>
          <w:marBottom w:val="0"/>
          <w:divBdr>
            <w:top w:val="none" w:sz="0" w:space="0" w:color="auto"/>
            <w:left w:val="none" w:sz="0" w:space="0" w:color="auto"/>
            <w:bottom w:val="none" w:sz="0" w:space="0" w:color="auto"/>
            <w:right w:val="none" w:sz="0" w:space="0" w:color="auto"/>
          </w:divBdr>
          <w:divsChild>
            <w:div w:id="1060903265">
              <w:marLeft w:val="0"/>
              <w:marRight w:val="0"/>
              <w:marTop w:val="0"/>
              <w:marBottom w:val="0"/>
              <w:divBdr>
                <w:top w:val="none" w:sz="0" w:space="0" w:color="auto"/>
                <w:left w:val="none" w:sz="0" w:space="0" w:color="auto"/>
                <w:bottom w:val="none" w:sz="0" w:space="0" w:color="auto"/>
                <w:right w:val="none" w:sz="0" w:space="0" w:color="auto"/>
              </w:divBdr>
            </w:div>
          </w:divsChild>
        </w:div>
        <w:div w:id="741876613">
          <w:marLeft w:val="0"/>
          <w:marRight w:val="0"/>
          <w:marTop w:val="0"/>
          <w:marBottom w:val="0"/>
          <w:divBdr>
            <w:top w:val="none" w:sz="0" w:space="0" w:color="auto"/>
            <w:left w:val="none" w:sz="0" w:space="0" w:color="auto"/>
            <w:bottom w:val="none" w:sz="0" w:space="0" w:color="auto"/>
            <w:right w:val="none" w:sz="0" w:space="0" w:color="auto"/>
          </w:divBdr>
          <w:divsChild>
            <w:div w:id="328872834">
              <w:marLeft w:val="0"/>
              <w:marRight w:val="0"/>
              <w:marTop w:val="0"/>
              <w:marBottom w:val="0"/>
              <w:divBdr>
                <w:top w:val="none" w:sz="0" w:space="0" w:color="auto"/>
                <w:left w:val="none" w:sz="0" w:space="0" w:color="auto"/>
                <w:bottom w:val="none" w:sz="0" w:space="0" w:color="auto"/>
                <w:right w:val="none" w:sz="0" w:space="0" w:color="auto"/>
              </w:divBdr>
              <w:divsChild>
                <w:div w:id="967081349">
                  <w:marLeft w:val="0"/>
                  <w:marRight w:val="0"/>
                  <w:marTop w:val="0"/>
                  <w:marBottom w:val="0"/>
                  <w:divBdr>
                    <w:top w:val="none" w:sz="0" w:space="0" w:color="auto"/>
                    <w:left w:val="none" w:sz="0" w:space="0" w:color="auto"/>
                    <w:bottom w:val="none" w:sz="0" w:space="0" w:color="auto"/>
                    <w:right w:val="none" w:sz="0" w:space="0" w:color="auto"/>
                  </w:divBdr>
                </w:div>
                <w:div w:id="2522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alex.com/guide/circolazione-biciclette" TargetMode="External"/><Relationship Id="rId13" Type="http://schemas.openxmlformats.org/officeDocument/2006/relationships/hyperlink" Target="https://www.altalex.com/guide/circolazione-biciclette" TargetMode="External"/><Relationship Id="rId18" Type="http://schemas.openxmlformats.org/officeDocument/2006/relationships/hyperlink" Target="https://www.altalex.com/documents/codici-altalex/2014/10/22/codice-della-strada" TargetMode="External"/><Relationship Id="rId3" Type="http://schemas.openxmlformats.org/officeDocument/2006/relationships/settings" Target="settings.xml"/><Relationship Id="rId7" Type="http://schemas.openxmlformats.org/officeDocument/2006/relationships/hyperlink" Target="https://www.altalex.com/guide/circolazione-biciclette" TargetMode="External"/><Relationship Id="rId12" Type="http://schemas.openxmlformats.org/officeDocument/2006/relationships/hyperlink" Target="https://www.altalex.com/guide/circolazione-biciclette" TargetMode="External"/><Relationship Id="rId17" Type="http://schemas.openxmlformats.org/officeDocument/2006/relationships/hyperlink" Target="https://www.altalex.com/documents/2024/12/02/g-u-codice-strada" TargetMode="External"/><Relationship Id="rId2" Type="http://schemas.openxmlformats.org/officeDocument/2006/relationships/styles" Target="styles.xml"/><Relationship Id="rId16" Type="http://schemas.openxmlformats.org/officeDocument/2006/relationships/hyperlink" Target="https://shop.wki.it/offerta/responsabilita-civile-automobilistica-s57478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talex.com/guide/circolazione-biciclette" TargetMode="External"/><Relationship Id="rId11" Type="http://schemas.openxmlformats.org/officeDocument/2006/relationships/hyperlink" Target="https://www.altalex.com/guide/circolazione-biciclette" TargetMode="External"/><Relationship Id="rId5" Type="http://schemas.openxmlformats.org/officeDocument/2006/relationships/hyperlink" Target="https://www.altalex.com/guide/circolazione-biciclette" TargetMode="External"/><Relationship Id="rId15" Type="http://schemas.openxmlformats.org/officeDocument/2006/relationships/image" Target="media/image1.jpeg"/><Relationship Id="rId10" Type="http://schemas.openxmlformats.org/officeDocument/2006/relationships/hyperlink" Target="https://www.altalex.com/guide/circolazione-biciclet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talex.com/guide/circolazione-biciclette" TargetMode="External"/><Relationship Id="rId14" Type="http://schemas.openxmlformats.org/officeDocument/2006/relationships/hyperlink" Target="https://shop.wki.it/offerta/responsabilita-civile-automobilistica-s57478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1661</Words>
  <Characters>9468</Characters>
  <Application>Microsoft Office Word</Application>
  <DocSecurity>0</DocSecurity>
  <Lines>78</Lines>
  <Paragraphs>22</Paragraphs>
  <ScaleCrop>false</ScaleCrop>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CicloClubEstense</dc:creator>
  <cp:keywords/>
  <dc:description/>
  <cp:lastModifiedBy>CicloClubEstense</cp:lastModifiedBy>
  <cp:revision>1</cp:revision>
  <cp:lastPrinted>2024-12-26T09:38:00Z</cp:lastPrinted>
  <dcterms:created xsi:type="dcterms:W3CDTF">2024-12-26T09:37:00Z</dcterms:created>
  <dcterms:modified xsi:type="dcterms:W3CDTF">2024-12-26T09:42:00Z</dcterms:modified>
</cp:coreProperties>
</file>